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1076" w14:textId="2250F418" w:rsidR="00BE5D31" w:rsidRDefault="002B5794" w:rsidP="00BE5D31">
      <w:pPr>
        <w:spacing w:line="300" w:lineRule="auto"/>
        <w:ind w:left="-142" w:right="43"/>
        <w:jc w:val="right"/>
        <w:rPr>
          <w:rFonts w:asciiTheme="majorHAnsi" w:hAnsiTheme="majorHAnsi"/>
        </w:rPr>
      </w:pPr>
      <w:bookmarkStart w:id="0" w:name="_GoBack"/>
      <w:bookmarkEnd w:id="0"/>
      <w:r w:rsidRPr="002B5794">
        <w:rPr>
          <w:rFonts w:asciiTheme="majorHAnsi" w:hAnsiTheme="majorHAnsi"/>
        </w:rPr>
        <w:t xml:space="preserve"> </w:t>
      </w:r>
      <w:r w:rsidR="00BE5D31">
        <w:rPr>
          <w:rFonts w:ascii="Arial" w:hAnsi="Arial" w:cs="Arial"/>
          <w:b/>
          <w:noProof/>
          <w:szCs w:val="20"/>
          <w:lang w:val="en-GB" w:eastAsia="en-GB"/>
        </w:rPr>
        <w:drawing>
          <wp:inline distT="0" distB="0" distL="0" distR="0" wp14:anchorId="2F71044C" wp14:editId="708FDDFC">
            <wp:extent cx="2646000" cy="1188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linical Senate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000" cy="1188000"/>
                    </a:xfrm>
                    <a:prstGeom prst="rect">
                      <a:avLst/>
                    </a:prstGeom>
                  </pic:spPr>
                </pic:pic>
              </a:graphicData>
            </a:graphic>
          </wp:inline>
        </w:drawing>
      </w:r>
    </w:p>
    <w:p w14:paraId="78E2251C" w14:textId="77777777" w:rsidR="002B5794" w:rsidRPr="00982640" w:rsidRDefault="002B5794" w:rsidP="00982640">
      <w:pPr>
        <w:pStyle w:val="Heading1"/>
        <w:rPr>
          <w:rFonts w:ascii="Arial" w:hAnsi="Arial" w:cs="Arial"/>
          <w:b/>
          <w:bCs/>
        </w:rPr>
      </w:pPr>
      <w:r w:rsidRPr="00982640">
        <w:rPr>
          <w:rFonts w:ascii="Arial" w:hAnsi="Arial" w:cs="Arial"/>
          <w:b/>
          <w:bCs/>
        </w:rPr>
        <w:t>Recommendations from the South West Clinical Senate Council on the South West Colorectal Cancer Peer Review Project</w:t>
      </w:r>
    </w:p>
    <w:p w14:paraId="4640412E" w14:textId="77777777" w:rsidR="00982640" w:rsidRDefault="00982640" w:rsidP="00BE5D31">
      <w:pPr>
        <w:spacing w:line="300" w:lineRule="auto"/>
        <w:ind w:left="-142" w:right="43"/>
        <w:rPr>
          <w:rFonts w:ascii="Arial" w:hAnsi="Arial" w:cs="Arial"/>
          <w:b/>
          <w:bCs/>
        </w:rPr>
      </w:pPr>
    </w:p>
    <w:p w14:paraId="3BD4D6BC" w14:textId="2901D474" w:rsidR="00BE5D31" w:rsidRPr="00E23B1A" w:rsidRDefault="00BE5D31" w:rsidP="00BE5D31">
      <w:pPr>
        <w:spacing w:line="300" w:lineRule="auto"/>
        <w:ind w:left="-142" w:right="43"/>
        <w:rPr>
          <w:rFonts w:ascii="Arial" w:hAnsi="Arial" w:cs="Arial"/>
          <w:b/>
          <w:bCs/>
        </w:rPr>
      </w:pPr>
      <w:r w:rsidRPr="00E23B1A">
        <w:rPr>
          <w:rFonts w:ascii="Arial" w:hAnsi="Arial" w:cs="Arial"/>
          <w:b/>
          <w:bCs/>
        </w:rPr>
        <w:t>1</w:t>
      </w:r>
      <w:r w:rsidR="00E154D4" w:rsidRPr="00E23B1A">
        <w:rPr>
          <w:rFonts w:ascii="Arial" w:hAnsi="Arial" w:cs="Arial"/>
          <w:b/>
          <w:bCs/>
        </w:rPr>
        <w:t>1 February 2021</w:t>
      </w:r>
    </w:p>
    <w:p w14:paraId="5B07E988" w14:textId="2D467C98" w:rsidR="008717AC" w:rsidRPr="00E23B1A" w:rsidRDefault="008717AC" w:rsidP="002635C8">
      <w:pPr>
        <w:pStyle w:val="Heading1"/>
        <w:spacing w:after="120"/>
      </w:pPr>
      <w:r w:rsidRPr="00E23B1A">
        <w:t>Background</w:t>
      </w:r>
    </w:p>
    <w:p w14:paraId="5A9D4004" w14:textId="7BDD180B" w:rsidR="008717AC" w:rsidRPr="00954435" w:rsidRDefault="008717AC" w:rsidP="00544E17">
      <w:pPr>
        <w:jc w:val="both"/>
        <w:rPr>
          <w:rFonts w:ascii="Arial" w:hAnsi="Arial" w:cs="Arial"/>
          <w:b/>
          <w:sz w:val="24"/>
          <w:szCs w:val="24"/>
        </w:rPr>
      </w:pPr>
      <w:r w:rsidRPr="00954435">
        <w:rPr>
          <w:rFonts w:ascii="Arial" w:hAnsi="Arial" w:cs="Arial"/>
          <w:sz w:val="24"/>
          <w:szCs w:val="24"/>
        </w:rPr>
        <w:t>In November 2017</w:t>
      </w:r>
      <w:r w:rsidR="00E23B1A" w:rsidRPr="00954435">
        <w:rPr>
          <w:rFonts w:ascii="Arial" w:hAnsi="Arial" w:cs="Arial"/>
          <w:sz w:val="24"/>
          <w:szCs w:val="24"/>
        </w:rPr>
        <w:t>,</w:t>
      </w:r>
      <w:r w:rsidRPr="00954435">
        <w:rPr>
          <w:rFonts w:ascii="Arial" w:hAnsi="Arial" w:cs="Arial"/>
          <w:sz w:val="24"/>
          <w:szCs w:val="24"/>
        </w:rPr>
        <w:t xml:space="preserve"> the Colorectal Cancer Clinical Expert Group updated Commissioning Guidance </w:t>
      </w:r>
      <w:r w:rsidR="00E23B1A" w:rsidRPr="00954435">
        <w:rPr>
          <w:rFonts w:ascii="Arial" w:hAnsi="Arial" w:cs="Arial"/>
          <w:sz w:val="24"/>
          <w:szCs w:val="24"/>
        </w:rPr>
        <w:t>for</w:t>
      </w:r>
      <w:r w:rsidRPr="00954435">
        <w:rPr>
          <w:rFonts w:ascii="Arial" w:hAnsi="Arial" w:cs="Arial"/>
          <w:sz w:val="24"/>
          <w:szCs w:val="24"/>
        </w:rPr>
        <w:t xml:space="preserve"> provider organisations and clinical commissioning groups / accountable care organisations on appropriate standards of care for patients being investigated with potential symptoms of bowel cancer and for patients with identified bowel cancer.</w:t>
      </w:r>
    </w:p>
    <w:p w14:paraId="187C43D6" w14:textId="4A2F45EB" w:rsidR="008717AC" w:rsidRPr="00954435" w:rsidRDefault="00345760" w:rsidP="00544E17">
      <w:pPr>
        <w:jc w:val="both"/>
        <w:rPr>
          <w:rFonts w:ascii="Arial" w:hAnsi="Arial" w:cs="Arial"/>
          <w:b/>
          <w:sz w:val="24"/>
          <w:szCs w:val="24"/>
        </w:rPr>
      </w:pPr>
      <w:bookmarkStart w:id="1" w:name="_Hlk66885952"/>
      <w:r w:rsidRPr="00954435">
        <w:rPr>
          <w:rFonts w:ascii="Arial" w:hAnsi="Arial" w:cs="Arial"/>
          <w:sz w:val="24"/>
          <w:szCs w:val="24"/>
        </w:rPr>
        <w:t>In 2019/20, t</w:t>
      </w:r>
      <w:r w:rsidR="008717AC" w:rsidRPr="00954435">
        <w:rPr>
          <w:rFonts w:ascii="Arial" w:hAnsi="Arial" w:cs="Arial"/>
          <w:sz w:val="24"/>
          <w:szCs w:val="24"/>
        </w:rPr>
        <w:t xml:space="preserve">he South West Clinical Senate and </w:t>
      </w:r>
      <w:r w:rsidR="008717AC" w:rsidRPr="00954435">
        <w:rPr>
          <w:rFonts w:ascii="Arial" w:hAnsi="Arial" w:cs="Arial"/>
          <w:sz w:val="24"/>
          <w:szCs w:val="24"/>
          <w:shd w:val="clear" w:color="auto" w:fill="FFFFFF"/>
        </w:rPr>
        <w:t xml:space="preserve">Somerset, Wiltshire, Avon </w:t>
      </w:r>
      <w:r w:rsidR="00E23B1A" w:rsidRPr="00954435">
        <w:rPr>
          <w:rFonts w:ascii="Arial" w:hAnsi="Arial" w:cs="Arial"/>
          <w:sz w:val="24"/>
          <w:szCs w:val="24"/>
          <w:shd w:val="clear" w:color="auto" w:fill="FFFFFF"/>
        </w:rPr>
        <w:t>&amp;</w:t>
      </w:r>
      <w:r w:rsidR="008717AC" w:rsidRPr="00954435">
        <w:rPr>
          <w:rFonts w:ascii="Arial" w:hAnsi="Arial" w:cs="Arial"/>
          <w:sz w:val="24"/>
          <w:szCs w:val="24"/>
          <w:shd w:val="clear" w:color="auto" w:fill="FFFFFF"/>
        </w:rPr>
        <w:t xml:space="preserve"> Gloucestershire (</w:t>
      </w:r>
      <w:r w:rsidR="008717AC" w:rsidRPr="00954435">
        <w:rPr>
          <w:rFonts w:ascii="Arial" w:hAnsi="Arial" w:cs="Arial"/>
          <w:sz w:val="24"/>
          <w:szCs w:val="24"/>
        </w:rPr>
        <w:t xml:space="preserve">SWAG) </w:t>
      </w:r>
      <w:r w:rsidR="00954435" w:rsidRPr="00954435">
        <w:rPr>
          <w:rFonts w:ascii="Arial" w:hAnsi="Arial" w:cs="Arial"/>
          <w:sz w:val="24"/>
          <w:szCs w:val="24"/>
        </w:rPr>
        <w:t>and Peninsular</w:t>
      </w:r>
      <w:r w:rsidR="008717AC" w:rsidRPr="00954435">
        <w:rPr>
          <w:rFonts w:ascii="Arial" w:hAnsi="Arial" w:cs="Arial"/>
          <w:sz w:val="24"/>
          <w:szCs w:val="24"/>
        </w:rPr>
        <w:t xml:space="preserve"> Cancer Alliances collaborated </w:t>
      </w:r>
      <w:r w:rsidR="00E23B1A" w:rsidRPr="00954435">
        <w:rPr>
          <w:rFonts w:ascii="Arial" w:hAnsi="Arial" w:cs="Arial"/>
          <w:sz w:val="24"/>
          <w:szCs w:val="24"/>
        </w:rPr>
        <w:t>to undertake</w:t>
      </w:r>
      <w:r w:rsidR="008717AC" w:rsidRPr="00954435">
        <w:rPr>
          <w:rFonts w:ascii="Arial" w:hAnsi="Arial" w:cs="Arial"/>
          <w:sz w:val="24"/>
          <w:szCs w:val="24"/>
        </w:rPr>
        <w:t xml:space="preserve"> a Peer Review project. </w:t>
      </w:r>
      <w:bookmarkEnd w:id="1"/>
      <w:r w:rsidR="008717AC" w:rsidRPr="00954435">
        <w:rPr>
          <w:rFonts w:ascii="Arial" w:hAnsi="Arial" w:cs="Arial"/>
          <w:sz w:val="24"/>
          <w:szCs w:val="24"/>
        </w:rPr>
        <w:t>The project analysed the processes Trusts used to deliver the key steps of the Colorectal Cancer (CRC) pathway and identified areas of best practice that can be used to redesign services. Site visits were completed in February 2020 just prior to changes brought about in response to COVID19 pandemic.</w:t>
      </w:r>
    </w:p>
    <w:p w14:paraId="438EDE3D" w14:textId="3FEF1F84" w:rsidR="00E92B08" w:rsidRPr="00954435" w:rsidRDefault="008717AC" w:rsidP="00544E17">
      <w:pPr>
        <w:jc w:val="both"/>
        <w:rPr>
          <w:rFonts w:ascii="Arial" w:hAnsi="Arial" w:cs="Arial"/>
          <w:bCs/>
          <w:sz w:val="24"/>
          <w:szCs w:val="24"/>
        </w:rPr>
      </w:pPr>
      <w:r w:rsidRPr="00954435">
        <w:rPr>
          <w:rFonts w:ascii="Arial" w:hAnsi="Arial" w:cs="Arial"/>
          <w:bCs/>
          <w:sz w:val="24"/>
          <w:szCs w:val="24"/>
        </w:rPr>
        <w:t xml:space="preserve">The Peer Review </w:t>
      </w:r>
      <w:r w:rsidR="00345760" w:rsidRPr="00954435">
        <w:rPr>
          <w:rFonts w:ascii="Arial" w:hAnsi="Arial" w:cs="Arial"/>
          <w:bCs/>
          <w:sz w:val="24"/>
          <w:szCs w:val="24"/>
        </w:rPr>
        <w:t xml:space="preserve">project </w:t>
      </w:r>
      <w:r w:rsidRPr="00954435">
        <w:rPr>
          <w:rFonts w:ascii="Arial" w:hAnsi="Arial" w:cs="Arial"/>
          <w:bCs/>
          <w:sz w:val="24"/>
          <w:szCs w:val="24"/>
        </w:rPr>
        <w:t xml:space="preserve">audited the ability of services to deliver specified components and metrics of a pathway and the quality, integration and patient-centred aspects of care. </w:t>
      </w:r>
    </w:p>
    <w:p w14:paraId="3E7382B2" w14:textId="79599F24" w:rsidR="00AD3EA0" w:rsidRPr="002635C8" w:rsidRDefault="00AD3EA0" w:rsidP="00954435">
      <w:pPr>
        <w:pStyle w:val="Heading1"/>
        <w:spacing w:after="120"/>
      </w:pPr>
      <w:r w:rsidRPr="002635C8">
        <w:t>The Question</w:t>
      </w:r>
    </w:p>
    <w:p w14:paraId="5B1BF972" w14:textId="1078D140" w:rsidR="002B5794" w:rsidRPr="00954435" w:rsidRDefault="00AD3EA0" w:rsidP="00544E17">
      <w:pPr>
        <w:jc w:val="both"/>
        <w:rPr>
          <w:rFonts w:ascii="Arial" w:hAnsi="Arial" w:cs="Arial"/>
          <w:bCs/>
          <w:sz w:val="24"/>
          <w:szCs w:val="24"/>
        </w:rPr>
      </w:pPr>
      <w:r w:rsidRPr="00954435">
        <w:rPr>
          <w:rFonts w:ascii="Arial" w:hAnsi="Arial" w:cs="Arial"/>
          <w:bCs/>
          <w:sz w:val="24"/>
          <w:szCs w:val="24"/>
        </w:rPr>
        <w:t>T</w:t>
      </w:r>
      <w:r w:rsidR="002B5794" w:rsidRPr="00954435">
        <w:rPr>
          <w:rFonts w:ascii="Arial" w:hAnsi="Arial" w:cs="Arial"/>
          <w:bCs/>
          <w:sz w:val="24"/>
          <w:szCs w:val="24"/>
        </w:rPr>
        <w:t>h</w:t>
      </w:r>
      <w:r w:rsidR="00982640" w:rsidRPr="00954435">
        <w:rPr>
          <w:rFonts w:ascii="Arial" w:hAnsi="Arial" w:cs="Arial"/>
          <w:bCs/>
          <w:sz w:val="24"/>
          <w:szCs w:val="24"/>
        </w:rPr>
        <w:t xml:space="preserve">e </w:t>
      </w:r>
      <w:r w:rsidR="00345760" w:rsidRPr="00954435">
        <w:rPr>
          <w:rFonts w:ascii="Arial" w:hAnsi="Arial" w:cs="Arial"/>
          <w:bCs/>
          <w:sz w:val="24"/>
          <w:szCs w:val="24"/>
        </w:rPr>
        <w:t>p</w:t>
      </w:r>
      <w:r w:rsidR="002B5794" w:rsidRPr="00954435">
        <w:rPr>
          <w:rFonts w:ascii="Arial" w:hAnsi="Arial" w:cs="Arial"/>
          <w:bCs/>
          <w:sz w:val="24"/>
          <w:szCs w:val="24"/>
        </w:rPr>
        <w:t>roject s</w:t>
      </w:r>
      <w:r w:rsidRPr="00954435">
        <w:rPr>
          <w:rFonts w:ascii="Arial" w:hAnsi="Arial" w:cs="Arial"/>
          <w:bCs/>
          <w:sz w:val="24"/>
          <w:szCs w:val="24"/>
        </w:rPr>
        <w:t xml:space="preserve">ought </w:t>
      </w:r>
      <w:r w:rsidR="00E92B08" w:rsidRPr="00954435">
        <w:rPr>
          <w:rFonts w:ascii="Arial" w:hAnsi="Arial" w:cs="Arial"/>
          <w:bCs/>
          <w:sz w:val="24"/>
          <w:szCs w:val="24"/>
        </w:rPr>
        <w:t xml:space="preserve">to explore the following </w:t>
      </w:r>
      <w:r w:rsidRPr="00954435">
        <w:rPr>
          <w:rFonts w:ascii="Arial" w:hAnsi="Arial" w:cs="Arial"/>
          <w:bCs/>
          <w:sz w:val="24"/>
          <w:szCs w:val="24"/>
        </w:rPr>
        <w:t>questions</w:t>
      </w:r>
      <w:r w:rsidR="002B5794" w:rsidRPr="00954435">
        <w:rPr>
          <w:rFonts w:ascii="Arial" w:hAnsi="Arial" w:cs="Arial"/>
          <w:bCs/>
          <w:sz w:val="24"/>
          <w:szCs w:val="24"/>
        </w:rPr>
        <w:t xml:space="preserve"> </w:t>
      </w:r>
      <w:r w:rsidR="00982640" w:rsidRPr="00954435">
        <w:rPr>
          <w:rFonts w:ascii="Arial" w:hAnsi="Arial" w:cs="Arial"/>
          <w:bCs/>
          <w:sz w:val="24"/>
          <w:szCs w:val="24"/>
        </w:rPr>
        <w:t xml:space="preserve">regarding </w:t>
      </w:r>
      <w:bookmarkStart w:id="2" w:name="_Hlk66885634"/>
      <w:r w:rsidR="00982640" w:rsidRPr="00954435">
        <w:rPr>
          <w:rFonts w:ascii="Arial" w:hAnsi="Arial" w:cs="Arial"/>
          <w:bCs/>
          <w:sz w:val="24"/>
          <w:szCs w:val="24"/>
        </w:rPr>
        <w:t xml:space="preserve">colorectal cancer </w:t>
      </w:r>
      <w:r w:rsidR="00067D75" w:rsidRPr="00954435">
        <w:rPr>
          <w:rFonts w:ascii="Arial" w:hAnsi="Arial" w:cs="Arial"/>
          <w:bCs/>
          <w:sz w:val="24"/>
          <w:szCs w:val="24"/>
        </w:rPr>
        <w:t>services</w:t>
      </w:r>
      <w:r w:rsidR="00982640" w:rsidRPr="00954435">
        <w:rPr>
          <w:rFonts w:ascii="Arial" w:hAnsi="Arial" w:cs="Arial"/>
          <w:bCs/>
          <w:sz w:val="24"/>
          <w:szCs w:val="24"/>
        </w:rPr>
        <w:t xml:space="preserve"> </w:t>
      </w:r>
      <w:bookmarkEnd w:id="2"/>
      <w:r w:rsidR="00982640" w:rsidRPr="00954435">
        <w:rPr>
          <w:rFonts w:ascii="Arial" w:hAnsi="Arial" w:cs="Arial"/>
          <w:bCs/>
          <w:sz w:val="24"/>
          <w:szCs w:val="24"/>
        </w:rPr>
        <w:t>across the South West of England</w:t>
      </w:r>
      <w:r w:rsidRPr="00954435">
        <w:rPr>
          <w:rFonts w:ascii="Arial" w:hAnsi="Arial" w:cs="Arial"/>
          <w:bCs/>
          <w:sz w:val="24"/>
          <w:szCs w:val="24"/>
        </w:rPr>
        <w:t xml:space="preserve">: </w:t>
      </w:r>
    </w:p>
    <w:p w14:paraId="060033E9" w14:textId="1147A9ED" w:rsidR="00954435" w:rsidRPr="00954435" w:rsidRDefault="00954435" w:rsidP="00544E17">
      <w:pPr>
        <w:pStyle w:val="ListParagraph"/>
        <w:numPr>
          <w:ilvl w:val="0"/>
          <w:numId w:val="13"/>
        </w:numPr>
        <w:spacing w:after="200" w:line="276" w:lineRule="auto"/>
        <w:ind w:right="43"/>
        <w:jc w:val="both"/>
        <w:rPr>
          <w:rFonts w:ascii="Arial" w:hAnsi="Arial" w:cs="Arial"/>
          <w:bCs/>
        </w:rPr>
      </w:pPr>
      <w:r w:rsidRPr="00954435">
        <w:rPr>
          <w:rFonts w:ascii="Arial" w:hAnsi="Arial" w:cs="Arial"/>
          <w:bCs/>
        </w:rPr>
        <w:t>To what extent are providers in the South West able to deliver the national commissioning pathways for colorectal cancer patients</w:t>
      </w:r>
    </w:p>
    <w:p w14:paraId="054E923D" w14:textId="6C7824A0" w:rsidR="00954435" w:rsidRPr="00954435" w:rsidRDefault="00954435" w:rsidP="00544E17">
      <w:pPr>
        <w:pStyle w:val="ListParagraph"/>
        <w:numPr>
          <w:ilvl w:val="0"/>
          <w:numId w:val="13"/>
        </w:numPr>
        <w:spacing w:after="200" w:line="276" w:lineRule="auto"/>
        <w:ind w:right="43"/>
        <w:jc w:val="both"/>
        <w:rPr>
          <w:rFonts w:ascii="Arial" w:hAnsi="Arial" w:cs="Arial"/>
          <w:bCs/>
        </w:rPr>
      </w:pPr>
      <w:r w:rsidRPr="00954435">
        <w:rPr>
          <w:rFonts w:ascii="Arial" w:hAnsi="Arial" w:cs="Arial"/>
          <w:bCs/>
        </w:rPr>
        <w:t>What are the key areas for pathway redesign and provision of service that will improve the quality of experience and timeliness of treatment for patients across the region?</w:t>
      </w:r>
    </w:p>
    <w:p w14:paraId="58A8693A" w14:textId="7CF6B166" w:rsidR="00BE5D31" w:rsidRDefault="00E92B08" w:rsidP="00544E17">
      <w:pPr>
        <w:jc w:val="both"/>
        <w:rPr>
          <w:rFonts w:ascii="Arial" w:hAnsi="Arial" w:cs="Arial"/>
          <w:iCs/>
          <w:sz w:val="24"/>
          <w:szCs w:val="24"/>
        </w:rPr>
      </w:pPr>
      <w:r w:rsidRPr="00954435">
        <w:rPr>
          <w:rFonts w:ascii="Arial" w:hAnsi="Arial" w:cs="Arial"/>
          <w:sz w:val="24"/>
          <w:szCs w:val="24"/>
        </w:rPr>
        <w:lastRenderedPageBreak/>
        <w:t xml:space="preserve">The COVID19 pandemic had a significant impact on the healthcare landscape with the introduction of remote patient access solutions, staff redeployment, the interruption of diagnostic and treatment pathways and impact on capacity. The Peer Review project </w:t>
      </w:r>
      <w:r w:rsidR="00067D75" w:rsidRPr="00954435">
        <w:rPr>
          <w:rFonts w:ascii="Arial" w:hAnsi="Arial" w:cs="Arial"/>
          <w:sz w:val="24"/>
          <w:szCs w:val="24"/>
        </w:rPr>
        <w:t xml:space="preserve">is </w:t>
      </w:r>
      <w:r w:rsidRPr="00954435">
        <w:rPr>
          <w:rFonts w:ascii="Arial" w:hAnsi="Arial" w:cs="Arial"/>
          <w:sz w:val="24"/>
          <w:szCs w:val="24"/>
        </w:rPr>
        <w:t>timely in that it seeks to provide a resource to inform the process of establishing cancer services in a COVID19 endemic system.</w:t>
      </w:r>
      <w:r w:rsidR="00D705F9" w:rsidRPr="00954435">
        <w:rPr>
          <w:rFonts w:ascii="Arial" w:hAnsi="Arial" w:cs="Arial"/>
          <w:sz w:val="24"/>
          <w:szCs w:val="24"/>
        </w:rPr>
        <w:t xml:space="preserve"> </w:t>
      </w:r>
      <w:r w:rsidRPr="00954435">
        <w:rPr>
          <w:rFonts w:ascii="Arial" w:hAnsi="Arial" w:cs="Arial"/>
          <w:iCs/>
          <w:sz w:val="24"/>
          <w:szCs w:val="24"/>
        </w:rPr>
        <w:t xml:space="preserve">As a result, </w:t>
      </w:r>
      <w:r w:rsidR="00D705F9" w:rsidRPr="00954435">
        <w:rPr>
          <w:rFonts w:ascii="Arial" w:hAnsi="Arial" w:cs="Arial"/>
          <w:iCs/>
          <w:sz w:val="24"/>
          <w:szCs w:val="24"/>
        </w:rPr>
        <w:t xml:space="preserve">the project considered </w:t>
      </w:r>
      <w:r w:rsidRPr="00954435">
        <w:rPr>
          <w:rFonts w:ascii="Arial" w:hAnsi="Arial" w:cs="Arial"/>
          <w:iCs/>
          <w:sz w:val="24"/>
          <w:szCs w:val="24"/>
        </w:rPr>
        <w:t>an additional question:</w:t>
      </w:r>
      <w:r w:rsidR="00AD3EA0" w:rsidRPr="00954435">
        <w:rPr>
          <w:rFonts w:ascii="Arial" w:hAnsi="Arial" w:cs="Arial"/>
          <w:iCs/>
          <w:sz w:val="24"/>
          <w:szCs w:val="24"/>
        </w:rPr>
        <w:t xml:space="preserve"> </w:t>
      </w:r>
    </w:p>
    <w:p w14:paraId="1F008F12" w14:textId="22CD6684" w:rsidR="00954435" w:rsidRPr="00954435" w:rsidRDefault="00954435" w:rsidP="00544E17">
      <w:pPr>
        <w:pStyle w:val="ListParagraph"/>
        <w:numPr>
          <w:ilvl w:val="0"/>
          <w:numId w:val="14"/>
        </w:numPr>
        <w:spacing w:after="200" w:line="276" w:lineRule="auto"/>
        <w:ind w:left="714" w:hanging="357"/>
        <w:contextualSpacing w:val="0"/>
        <w:jc w:val="both"/>
        <w:rPr>
          <w:rFonts w:ascii="Arial" w:hAnsi="Arial" w:cs="Arial"/>
        </w:rPr>
      </w:pPr>
      <w:r w:rsidRPr="00954435">
        <w:rPr>
          <w:rFonts w:ascii="Arial" w:hAnsi="Arial" w:cs="Arial"/>
          <w:iCs/>
        </w:rPr>
        <w:t>How can the Peer Review Project help us rebuild services following COVID changes?</w:t>
      </w:r>
    </w:p>
    <w:p w14:paraId="2DAB95BA" w14:textId="77777777" w:rsidR="002414B3" w:rsidRPr="00E23B1A" w:rsidRDefault="002414B3" w:rsidP="00954435">
      <w:pPr>
        <w:pStyle w:val="Heading1"/>
        <w:spacing w:after="120"/>
      </w:pPr>
      <w:r w:rsidRPr="00E23B1A">
        <w:t>The Advice</w:t>
      </w:r>
    </w:p>
    <w:p w14:paraId="4B900D40" w14:textId="76D1BFD3" w:rsidR="001E35CE" w:rsidRPr="00954435" w:rsidRDefault="00012E0B" w:rsidP="00544E17">
      <w:pPr>
        <w:jc w:val="both"/>
        <w:rPr>
          <w:rFonts w:ascii="Arial" w:hAnsi="Arial" w:cs="Arial"/>
          <w:iCs/>
          <w:sz w:val="24"/>
          <w:szCs w:val="24"/>
        </w:rPr>
      </w:pPr>
      <w:r w:rsidRPr="00954435">
        <w:rPr>
          <w:rFonts w:ascii="Arial" w:hAnsi="Arial" w:cs="Arial"/>
          <w:iCs/>
          <w:sz w:val="24"/>
          <w:szCs w:val="24"/>
        </w:rPr>
        <w:t>The South West Clinical Senate Council met on 11 February 2021</w:t>
      </w:r>
      <w:r w:rsidR="00954435">
        <w:rPr>
          <w:rFonts w:ascii="Arial" w:hAnsi="Arial" w:cs="Arial"/>
          <w:iCs/>
          <w:sz w:val="24"/>
          <w:szCs w:val="24"/>
        </w:rPr>
        <w:t xml:space="preserve"> to consider the implications</w:t>
      </w:r>
      <w:r w:rsidR="001E35CE" w:rsidRPr="00954435">
        <w:rPr>
          <w:rFonts w:ascii="Arial" w:hAnsi="Arial" w:cs="Arial"/>
          <w:iCs/>
          <w:sz w:val="24"/>
          <w:szCs w:val="24"/>
        </w:rPr>
        <w:t xml:space="preserve"> of the learnings and recommendations of the South West </w:t>
      </w:r>
      <w:r w:rsidRPr="00954435">
        <w:rPr>
          <w:rFonts w:ascii="Arial" w:hAnsi="Arial" w:cs="Arial"/>
          <w:iCs/>
          <w:sz w:val="24"/>
          <w:szCs w:val="24"/>
        </w:rPr>
        <w:t xml:space="preserve">Colorectal Cancer Peer Review Project </w:t>
      </w:r>
      <w:r w:rsidR="001E35CE" w:rsidRPr="00954435">
        <w:rPr>
          <w:rFonts w:ascii="Arial" w:hAnsi="Arial" w:cs="Arial"/>
          <w:iCs/>
          <w:sz w:val="24"/>
          <w:szCs w:val="24"/>
        </w:rPr>
        <w:t xml:space="preserve">undertaken as a collaboration between the South West Clinical Senate, Peninsula and SWAG Cancer Alliances. </w:t>
      </w:r>
    </w:p>
    <w:p w14:paraId="7FEA38C7" w14:textId="25D98CF5" w:rsidR="00D705F9" w:rsidRPr="00954435" w:rsidRDefault="00954435" w:rsidP="00544E17">
      <w:pPr>
        <w:jc w:val="both"/>
        <w:rPr>
          <w:rFonts w:ascii="Arial" w:hAnsi="Arial" w:cs="Arial"/>
          <w:iCs/>
          <w:sz w:val="24"/>
          <w:szCs w:val="24"/>
        </w:rPr>
      </w:pPr>
      <w:bookmarkStart w:id="3" w:name="_Hlk66887549"/>
      <w:r w:rsidRPr="00954435">
        <w:rPr>
          <w:rFonts w:ascii="Arial" w:hAnsi="Arial" w:cs="Arial"/>
          <w:iCs/>
          <w:sz w:val="24"/>
          <w:szCs w:val="24"/>
        </w:rPr>
        <w:t>The Council</w:t>
      </w:r>
      <w:r w:rsidR="00012E0B" w:rsidRPr="00954435">
        <w:rPr>
          <w:rFonts w:ascii="Arial" w:hAnsi="Arial" w:cs="Arial"/>
          <w:iCs/>
          <w:sz w:val="24"/>
          <w:szCs w:val="24"/>
        </w:rPr>
        <w:t xml:space="preserve"> </w:t>
      </w:r>
      <w:r w:rsidR="001E35CE" w:rsidRPr="00954435">
        <w:rPr>
          <w:rFonts w:ascii="Arial" w:hAnsi="Arial" w:cs="Arial"/>
          <w:iCs/>
          <w:sz w:val="24"/>
          <w:szCs w:val="24"/>
        </w:rPr>
        <w:t>is entirely supportive of the main thrust of the project outputs, namely:</w:t>
      </w:r>
    </w:p>
    <w:p w14:paraId="280C4288" w14:textId="77777777" w:rsidR="00D705F9" w:rsidRPr="00954435" w:rsidRDefault="00D705F9" w:rsidP="00544E17">
      <w:pPr>
        <w:pStyle w:val="ListParagraph"/>
        <w:numPr>
          <w:ilvl w:val="0"/>
          <w:numId w:val="11"/>
        </w:numPr>
        <w:spacing w:after="200" w:line="276" w:lineRule="auto"/>
        <w:ind w:left="357" w:hanging="357"/>
        <w:contextualSpacing w:val="0"/>
        <w:rPr>
          <w:rFonts w:ascii="Arial" w:hAnsi="Arial" w:cs="Arial"/>
          <w:iCs/>
        </w:rPr>
      </w:pPr>
      <w:r w:rsidRPr="00954435">
        <w:rPr>
          <w:rFonts w:ascii="Arial" w:hAnsi="Arial" w:cs="Arial"/>
          <w:iCs/>
        </w:rPr>
        <w:t>Improve engagement of all stakeholders in the SW colorectal cancer service and focus attention on successful system transformation at local and network level.</w:t>
      </w:r>
    </w:p>
    <w:p w14:paraId="6DDBA8AB" w14:textId="77777777" w:rsidR="00D705F9" w:rsidRPr="00954435" w:rsidRDefault="00D705F9" w:rsidP="00544E17">
      <w:pPr>
        <w:pStyle w:val="ListParagraph"/>
        <w:numPr>
          <w:ilvl w:val="0"/>
          <w:numId w:val="11"/>
        </w:numPr>
        <w:spacing w:after="200" w:line="276" w:lineRule="auto"/>
        <w:ind w:left="357" w:hanging="357"/>
        <w:contextualSpacing w:val="0"/>
        <w:rPr>
          <w:rFonts w:ascii="Arial" w:hAnsi="Arial" w:cs="Arial"/>
          <w:iCs/>
        </w:rPr>
      </w:pPr>
      <w:r w:rsidRPr="00954435">
        <w:rPr>
          <w:rFonts w:ascii="Arial" w:hAnsi="Arial" w:cs="Arial"/>
          <w:iCs/>
        </w:rPr>
        <w:t>Share good practice: Identify gaps which could be filled by adopting solutions already worked up and successfully implemented elsewhere in the region.</w:t>
      </w:r>
    </w:p>
    <w:p w14:paraId="09E0C16A" w14:textId="77777777" w:rsidR="00D705F9" w:rsidRPr="00954435" w:rsidRDefault="00D705F9" w:rsidP="00544E17">
      <w:pPr>
        <w:pStyle w:val="ListParagraph"/>
        <w:numPr>
          <w:ilvl w:val="0"/>
          <w:numId w:val="11"/>
        </w:numPr>
        <w:spacing w:after="200" w:line="276" w:lineRule="auto"/>
        <w:ind w:left="357" w:hanging="357"/>
        <w:contextualSpacing w:val="0"/>
        <w:rPr>
          <w:rFonts w:ascii="Arial" w:hAnsi="Arial" w:cs="Arial"/>
          <w:iCs/>
        </w:rPr>
      </w:pPr>
      <w:r w:rsidRPr="00954435">
        <w:rPr>
          <w:rFonts w:ascii="Arial" w:hAnsi="Arial" w:cs="Arial"/>
          <w:iCs/>
        </w:rPr>
        <w:t>Highlight gaps which can only be filled by increasing resource to clinical services.</w:t>
      </w:r>
    </w:p>
    <w:p w14:paraId="37CA06C4" w14:textId="77777777" w:rsidR="00D705F9" w:rsidRPr="00954435" w:rsidRDefault="00D705F9" w:rsidP="00544E17">
      <w:pPr>
        <w:pStyle w:val="ListParagraph"/>
        <w:numPr>
          <w:ilvl w:val="0"/>
          <w:numId w:val="11"/>
        </w:numPr>
        <w:spacing w:after="200" w:line="276" w:lineRule="auto"/>
        <w:ind w:left="357" w:hanging="357"/>
        <w:contextualSpacing w:val="0"/>
        <w:rPr>
          <w:rFonts w:ascii="Arial" w:hAnsi="Arial" w:cs="Arial"/>
          <w:iCs/>
        </w:rPr>
      </w:pPr>
      <w:r w:rsidRPr="00954435">
        <w:rPr>
          <w:rFonts w:ascii="Arial" w:hAnsi="Arial" w:cs="Arial"/>
          <w:iCs/>
        </w:rPr>
        <w:t>Identify areas where network collaboration could improve local services.</w:t>
      </w:r>
    </w:p>
    <w:p w14:paraId="1050F189" w14:textId="433A89EC" w:rsidR="00D705F9" w:rsidRPr="00954435" w:rsidRDefault="00D705F9" w:rsidP="00544E17">
      <w:pPr>
        <w:pStyle w:val="ListParagraph"/>
        <w:numPr>
          <w:ilvl w:val="0"/>
          <w:numId w:val="11"/>
        </w:numPr>
        <w:spacing w:after="200" w:line="276" w:lineRule="auto"/>
        <w:ind w:left="357" w:hanging="357"/>
        <w:contextualSpacing w:val="0"/>
        <w:rPr>
          <w:rFonts w:ascii="Arial" w:hAnsi="Arial" w:cs="Arial"/>
          <w:iCs/>
        </w:rPr>
      </w:pPr>
      <w:r w:rsidRPr="00954435">
        <w:rPr>
          <w:rFonts w:ascii="Arial" w:hAnsi="Arial" w:cs="Arial"/>
          <w:iCs/>
        </w:rPr>
        <w:t>Identify priorities for Cancer Alliance support that can support rapid implementation of the ‘faster diagnosis’ agenda and equity of access to treatment across the region</w:t>
      </w:r>
    </w:p>
    <w:bookmarkEnd w:id="3"/>
    <w:p w14:paraId="58F4A2E6" w14:textId="42770DED" w:rsidR="00954435" w:rsidRPr="00E23B1A" w:rsidRDefault="00954435" w:rsidP="00954435">
      <w:pPr>
        <w:pStyle w:val="Heading1"/>
        <w:spacing w:after="120"/>
      </w:pPr>
      <w:r>
        <w:t>Observations</w:t>
      </w:r>
    </w:p>
    <w:p w14:paraId="0D2875A5" w14:textId="5888DB56" w:rsidR="00D705F9" w:rsidRPr="00954435" w:rsidRDefault="00544E17" w:rsidP="00544E17">
      <w:pPr>
        <w:jc w:val="both"/>
        <w:rPr>
          <w:rFonts w:ascii="Arial" w:hAnsi="Arial" w:cs="Arial"/>
          <w:iCs/>
          <w:sz w:val="24"/>
          <w:szCs w:val="24"/>
        </w:rPr>
      </w:pPr>
      <w:r>
        <w:rPr>
          <w:rFonts w:ascii="Arial" w:hAnsi="Arial" w:cs="Arial"/>
          <w:iCs/>
          <w:sz w:val="24"/>
          <w:szCs w:val="24"/>
        </w:rPr>
        <w:t>The Council made several obser</w:t>
      </w:r>
      <w:r w:rsidR="00954435" w:rsidRPr="00954435">
        <w:rPr>
          <w:rFonts w:ascii="Arial" w:hAnsi="Arial" w:cs="Arial"/>
          <w:iCs/>
          <w:sz w:val="24"/>
          <w:szCs w:val="24"/>
        </w:rPr>
        <w:t>vations:</w:t>
      </w:r>
      <w:r w:rsidR="00B0337D" w:rsidRPr="00954435">
        <w:rPr>
          <w:rFonts w:ascii="Arial" w:hAnsi="Arial" w:cs="Arial"/>
          <w:iCs/>
          <w:sz w:val="24"/>
          <w:szCs w:val="24"/>
        </w:rPr>
        <w:t xml:space="preserve"> </w:t>
      </w:r>
    </w:p>
    <w:p w14:paraId="2CF1CF65" w14:textId="77777777" w:rsidR="002322B1" w:rsidRPr="002322B1" w:rsidRDefault="00B0337D" w:rsidP="00714775">
      <w:pPr>
        <w:pStyle w:val="ListParagraph"/>
        <w:numPr>
          <w:ilvl w:val="0"/>
          <w:numId w:val="17"/>
        </w:numPr>
        <w:spacing w:after="200" w:line="276" w:lineRule="auto"/>
        <w:contextualSpacing w:val="0"/>
        <w:jc w:val="both"/>
        <w:rPr>
          <w:rFonts w:ascii="Arial" w:hAnsi="Arial" w:cs="Arial"/>
        </w:rPr>
      </w:pPr>
      <w:r w:rsidRPr="00622F1B">
        <w:rPr>
          <w:rFonts w:ascii="Arial" w:hAnsi="Arial" w:cs="Arial"/>
          <w:iCs/>
        </w:rPr>
        <w:t>The National Institute for Health and Care Excellence (NICE) updated its guidance NG12</w:t>
      </w:r>
      <w:r>
        <w:rPr>
          <w:rStyle w:val="FootnoteReference"/>
          <w:rFonts w:ascii="Arial" w:hAnsi="Arial" w:cs="Arial"/>
          <w:iCs/>
        </w:rPr>
        <w:footnoteReference w:id="1"/>
      </w:r>
      <w:r w:rsidRPr="00622F1B">
        <w:rPr>
          <w:rFonts w:ascii="Arial" w:hAnsi="Arial" w:cs="Arial"/>
          <w:iCs/>
        </w:rPr>
        <w:t xml:space="preserve"> in January 2021 which covers identifying children, young people and adults with symptoms that could be caused by cancer. </w:t>
      </w:r>
      <w:r w:rsidR="00DD75B0" w:rsidRPr="00622F1B">
        <w:rPr>
          <w:rFonts w:ascii="Arial" w:hAnsi="Arial" w:cs="Arial"/>
          <w:iCs/>
        </w:rPr>
        <w:t>The guidance also outlines investigations in primary care and the people to refer for a specialist opinion. NICE is also developing other guidance</w:t>
      </w:r>
      <w:r w:rsidR="00DD75B0">
        <w:rPr>
          <w:rStyle w:val="FootnoteReference"/>
          <w:rFonts w:ascii="Arial" w:hAnsi="Arial" w:cs="Arial"/>
          <w:iCs/>
        </w:rPr>
        <w:footnoteReference w:id="2"/>
      </w:r>
      <w:r w:rsidR="00DD75B0" w:rsidRPr="00622F1B">
        <w:rPr>
          <w:rFonts w:ascii="Arial" w:hAnsi="Arial" w:cs="Arial"/>
          <w:iCs/>
        </w:rPr>
        <w:t xml:space="preserve"> on the quantitative faecal immunochemical tests to guide colorectal cancer pathway referral for people with a change in bowel habit or abdominal pain.</w:t>
      </w:r>
    </w:p>
    <w:p w14:paraId="0C9075DD" w14:textId="77777777" w:rsidR="00B574DF" w:rsidRPr="00B574DF" w:rsidRDefault="002322B1" w:rsidP="00714775">
      <w:pPr>
        <w:pStyle w:val="ListParagraph"/>
        <w:numPr>
          <w:ilvl w:val="0"/>
          <w:numId w:val="17"/>
        </w:numPr>
        <w:spacing w:after="200" w:line="276" w:lineRule="auto"/>
        <w:contextualSpacing w:val="0"/>
        <w:jc w:val="both"/>
        <w:rPr>
          <w:rFonts w:ascii="Arial" w:hAnsi="Arial" w:cs="Arial"/>
        </w:rPr>
      </w:pPr>
      <w:r w:rsidRPr="002322B1">
        <w:rPr>
          <w:rFonts w:ascii="Arial" w:hAnsi="Arial" w:cs="Arial"/>
          <w:iCs/>
        </w:rPr>
        <w:lastRenderedPageBreak/>
        <w:t>Organisations that have participated in the project are encouraged to share good practice and showcase innovation with NICE as a Shared Learning Case Study</w:t>
      </w:r>
      <w:r>
        <w:rPr>
          <w:rStyle w:val="FootnoteReference"/>
          <w:rFonts w:ascii="Arial" w:hAnsi="Arial" w:cs="Arial"/>
          <w:iCs/>
        </w:rPr>
        <w:footnoteReference w:id="3"/>
      </w:r>
      <w:r w:rsidRPr="002322B1">
        <w:rPr>
          <w:rFonts w:ascii="Arial" w:hAnsi="Arial" w:cs="Arial"/>
          <w:iCs/>
        </w:rPr>
        <w:t xml:space="preserve"> to raise the profile of these activities. </w:t>
      </w:r>
    </w:p>
    <w:p w14:paraId="5A3E1E4D" w14:textId="77777777" w:rsidR="00D4344D" w:rsidRDefault="00622F1B" w:rsidP="00714775">
      <w:pPr>
        <w:pStyle w:val="ListParagraph"/>
        <w:numPr>
          <w:ilvl w:val="0"/>
          <w:numId w:val="17"/>
        </w:numPr>
        <w:spacing w:after="200" w:line="276" w:lineRule="auto"/>
        <w:contextualSpacing w:val="0"/>
        <w:jc w:val="both"/>
        <w:rPr>
          <w:rFonts w:ascii="Arial" w:hAnsi="Arial" w:cs="Arial"/>
        </w:rPr>
      </w:pPr>
      <w:r w:rsidRPr="00B574DF">
        <w:rPr>
          <w:rFonts w:ascii="Arial" w:hAnsi="Arial" w:cs="Arial"/>
        </w:rPr>
        <w:t>The</w:t>
      </w:r>
      <w:r w:rsidR="00B574DF" w:rsidRPr="00B574DF">
        <w:rPr>
          <w:rFonts w:ascii="Arial" w:hAnsi="Arial" w:cs="Arial"/>
        </w:rPr>
        <w:t xml:space="preserve"> use of e-referrals and e-test results is encouraged as there are</w:t>
      </w:r>
      <w:r w:rsidRPr="00B574DF">
        <w:rPr>
          <w:rFonts w:ascii="Arial" w:hAnsi="Arial" w:cs="Arial"/>
        </w:rPr>
        <w:t xml:space="preserve"> benefits </w:t>
      </w:r>
      <w:r w:rsidR="00B574DF" w:rsidRPr="00B574DF">
        <w:rPr>
          <w:rFonts w:ascii="Arial" w:hAnsi="Arial" w:cs="Arial"/>
        </w:rPr>
        <w:t>such as supporting joined-up IT across primary and secondary care and improved efficiency and accessibility to test results.</w:t>
      </w:r>
    </w:p>
    <w:p w14:paraId="493CBB71" w14:textId="1C1D4ED6" w:rsidR="00B574DF" w:rsidRDefault="00D4344D" w:rsidP="00714775">
      <w:pPr>
        <w:pStyle w:val="ListParagraph"/>
        <w:numPr>
          <w:ilvl w:val="0"/>
          <w:numId w:val="17"/>
        </w:numPr>
        <w:spacing w:after="200" w:line="276" w:lineRule="auto"/>
        <w:contextualSpacing w:val="0"/>
        <w:jc w:val="both"/>
        <w:rPr>
          <w:rFonts w:ascii="Arial" w:hAnsi="Arial" w:cs="Arial"/>
        </w:rPr>
      </w:pPr>
      <w:r w:rsidRPr="00D4344D">
        <w:rPr>
          <w:rFonts w:ascii="Arial" w:hAnsi="Arial" w:cs="Arial"/>
        </w:rPr>
        <w:t>A</w:t>
      </w:r>
      <w:r w:rsidR="00B574DF" w:rsidRPr="00D4344D">
        <w:rPr>
          <w:rFonts w:ascii="Arial" w:hAnsi="Arial" w:cs="Arial"/>
        </w:rPr>
        <w:t xml:space="preserve"> study shows that frailty assessments predict post-operative complications in elderly patients and as such</w:t>
      </w:r>
      <w:r w:rsidRPr="00D4344D">
        <w:rPr>
          <w:rFonts w:ascii="Arial" w:hAnsi="Arial" w:cs="Arial"/>
        </w:rPr>
        <w:t>, the Council considered having a protocol to undertake these assessments regarding “pre” and “peri” operative considerations for vulnerable and frail patient cohorts</w:t>
      </w:r>
      <w:r>
        <w:rPr>
          <w:rStyle w:val="FootnoteReference"/>
          <w:rFonts w:ascii="Arial" w:hAnsi="Arial" w:cs="Arial"/>
        </w:rPr>
        <w:footnoteReference w:id="4"/>
      </w:r>
      <w:r w:rsidRPr="00D4344D">
        <w:rPr>
          <w:rFonts w:ascii="Arial" w:hAnsi="Arial" w:cs="Arial"/>
        </w:rPr>
        <w:t xml:space="preserve"> would be useful.</w:t>
      </w:r>
    </w:p>
    <w:p w14:paraId="5FE5256A" w14:textId="45B5326F" w:rsidR="00714775" w:rsidRDefault="00714775" w:rsidP="00714775">
      <w:pPr>
        <w:pStyle w:val="ListParagraph"/>
        <w:numPr>
          <w:ilvl w:val="0"/>
          <w:numId w:val="17"/>
        </w:numPr>
        <w:spacing w:after="200" w:line="276" w:lineRule="auto"/>
        <w:contextualSpacing w:val="0"/>
        <w:jc w:val="both"/>
        <w:rPr>
          <w:rFonts w:ascii="Arial" w:hAnsi="Arial" w:cs="Arial"/>
        </w:rPr>
      </w:pPr>
      <w:r>
        <w:rPr>
          <w:rFonts w:ascii="Arial" w:hAnsi="Arial" w:cs="Arial"/>
        </w:rPr>
        <w:t xml:space="preserve">The Quantitative Faecal Immunochemical Test (QFIT) is a simple and quick screening tool that is being used to stratify risk however, there are some patient cohorts where the tool is less effective. </w:t>
      </w:r>
    </w:p>
    <w:p w14:paraId="2515D441" w14:textId="42F87B0C" w:rsidR="00D4344D" w:rsidRDefault="00D4344D" w:rsidP="00714775">
      <w:pPr>
        <w:pStyle w:val="ListParagraph"/>
        <w:numPr>
          <w:ilvl w:val="0"/>
          <w:numId w:val="17"/>
        </w:numPr>
        <w:spacing w:after="200" w:line="276" w:lineRule="auto"/>
        <w:contextualSpacing w:val="0"/>
        <w:jc w:val="both"/>
        <w:rPr>
          <w:rFonts w:ascii="Arial" w:hAnsi="Arial" w:cs="Arial"/>
        </w:rPr>
      </w:pPr>
      <w:r>
        <w:rPr>
          <w:rFonts w:ascii="Arial" w:hAnsi="Arial" w:cs="Arial"/>
        </w:rPr>
        <w:t xml:space="preserve">It is important to note that screening only detects circa 10% of colorectal cancer cases, as it is only undertaken by part of the target age group. Other cases will come via other routes. </w:t>
      </w:r>
    </w:p>
    <w:p w14:paraId="69E98C13" w14:textId="5FE9EF54" w:rsidR="0035710A" w:rsidRPr="0035710A" w:rsidRDefault="0035710A" w:rsidP="0035710A">
      <w:pPr>
        <w:pStyle w:val="ListParagraph"/>
        <w:numPr>
          <w:ilvl w:val="0"/>
          <w:numId w:val="17"/>
        </w:numPr>
        <w:spacing w:after="200" w:line="276" w:lineRule="auto"/>
        <w:ind w:left="357" w:hanging="357"/>
        <w:contextualSpacing w:val="0"/>
        <w:jc w:val="both"/>
        <w:rPr>
          <w:rFonts w:ascii="Arial" w:hAnsi="Arial" w:cs="Arial"/>
        </w:rPr>
      </w:pPr>
      <w:r w:rsidRPr="0035710A">
        <w:rPr>
          <w:rFonts w:ascii="Arial" w:hAnsi="Arial" w:cs="Arial"/>
        </w:rPr>
        <w:t>National guidance states that screening should be limited to patients over 50 years old however there is an increased incidence of colorectal cancers in young adults</w:t>
      </w:r>
      <w:r>
        <w:rPr>
          <w:rStyle w:val="FootnoteReference"/>
          <w:rFonts w:ascii="Arial" w:hAnsi="Arial" w:cs="Arial"/>
        </w:rPr>
        <w:footnoteReference w:id="5"/>
      </w:r>
      <w:r w:rsidRPr="0035710A">
        <w:rPr>
          <w:rFonts w:ascii="Arial" w:hAnsi="Arial" w:cs="Arial"/>
        </w:rPr>
        <w:t>. The Council discussed this misalignment between the national guidance and clinical evidence</w:t>
      </w:r>
      <w:r>
        <w:rPr>
          <w:rFonts w:ascii="Arial" w:hAnsi="Arial" w:cs="Arial"/>
        </w:rPr>
        <w:t xml:space="preserve"> and whether consideration should be given to screening any adult over 20 years old with worrying colorectal symptoms.</w:t>
      </w:r>
      <w:r w:rsidRPr="0035710A">
        <w:rPr>
          <w:rFonts w:ascii="Arial" w:hAnsi="Arial" w:cs="Arial"/>
        </w:rPr>
        <w:t xml:space="preserve"> </w:t>
      </w:r>
    </w:p>
    <w:p w14:paraId="4863D14C" w14:textId="6FD618DF" w:rsidR="00D4344D" w:rsidRPr="00D4344D" w:rsidRDefault="00D4344D" w:rsidP="00714775">
      <w:pPr>
        <w:pStyle w:val="ListParagraph"/>
        <w:numPr>
          <w:ilvl w:val="0"/>
          <w:numId w:val="18"/>
        </w:numPr>
        <w:spacing w:after="200" w:line="276" w:lineRule="auto"/>
        <w:contextualSpacing w:val="0"/>
        <w:jc w:val="both"/>
        <w:rPr>
          <w:rFonts w:ascii="Arial" w:hAnsi="Arial" w:cs="Arial"/>
        </w:rPr>
      </w:pPr>
      <w:r w:rsidRPr="00D4344D">
        <w:rPr>
          <w:rFonts w:ascii="Arial" w:hAnsi="Arial" w:cs="Arial"/>
        </w:rPr>
        <w:t>Current guidance suggests that emergency services should be provided by colorectal surgeons however this is not mandated. The Project makes several recommendations on this. It is important that whatever is implemented should not be to the detriment of other disease areas.</w:t>
      </w:r>
    </w:p>
    <w:p w14:paraId="40FF2E11" w14:textId="3FD2100A" w:rsidR="002635C8" w:rsidRDefault="00D4344D" w:rsidP="00D4344D">
      <w:pPr>
        <w:pStyle w:val="Heading1"/>
        <w:spacing w:after="120"/>
        <w:rPr>
          <w:rFonts w:ascii="Arial" w:hAnsi="Arial" w:cs="Arial"/>
          <w:iCs/>
        </w:rPr>
      </w:pPr>
      <w:r>
        <w:t>The Recommendations</w:t>
      </w:r>
    </w:p>
    <w:p w14:paraId="6BD9E4AF" w14:textId="65BBD5D8" w:rsidR="001E35CE" w:rsidRPr="00714775" w:rsidRDefault="00714775" w:rsidP="00714775">
      <w:pPr>
        <w:jc w:val="both"/>
        <w:rPr>
          <w:rFonts w:ascii="Arial" w:hAnsi="Arial" w:cs="Arial"/>
          <w:iCs/>
          <w:sz w:val="24"/>
          <w:szCs w:val="24"/>
        </w:rPr>
      </w:pPr>
      <w:r w:rsidRPr="00714775">
        <w:rPr>
          <w:rFonts w:ascii="Arial" w:hAnsi="Arial" w:cs="Arial"/>
          <w:iCs/>
          <w:sz w:val="24"/>
          <w:szCs w:val="24"/>
        </w:rPr>
        <w:t>T</w:t>
      </w:r>
      <w:r w:rsidR="001E35CE" w:rsidRPr="00714775">
        <w:rPr>
          <w:rFonts w:ascii="Arial" w:hAnsi="Arial" w:cs="Arial"/>
          <w:iCs/>
          <w:sz w:val="24"/>
          <w:szCs w:val="24"/>
        </w:rPr>
        <w:t xml:space="preserve">he South West Clinical Senate makes the following recommendations: </w:t>
      </w:r>
    </w:p>
    <w:p w14:paraId="3B1E35BA" w14:textId="0964F16B" w:rsidR="005F5576" w:rsidRPr="00714775" w:rsidRDefault="001E35CE" w:rsidP="00714775">
      <w:pPr>
        <w:pStyle w:val="ListParagraph"/>
        <w:numPr>
          <w:ilvl w:val="0"/>
          <w:numId w:val="5"/>
        </w:numPr>
        <w:spacing w:after="200" w:line="276" w:lineRule="auto"/>
        <w:ind w:left="357" w:hanging="357"/>
        <w:contextualSpacing w:val="0"/>
        <w:jc w:val="both"/>
        <w:rPr>
          <w:rFonts w:ascii="Arial" w:hAnsi="Arial" w:cs="Arial"/>
          <w:iCs/>
        </w:rPr>
      </w:pPr>
      <w:r w:rsidRPr="00714775">
        <w:rPr>
          <w:rStyle w:val="Hyperlink"/>
          <w:rFonts w:ascii="Arial" w:hAnsi="Arial" w:cs="Arial"/>
          <w:color w:val="auto"/>
          <w:u w:val="none"/>
        </w:rPr>
        <w:t xml:space="preserve">A Health Equity </w:t>
      </w:r>
      <w:r w:rsidR="00F224AD" w:rsidRPr="00714775">
        <w:rPr>
          <w:rFonts w:ascii="Arial" w:hAnsi="Arial" w:cs="Arial"/>
        </w:rPr>
        <w:t>Audit</w:t>
      </w:r>
      <w:r w:rsidR="00412A15" w:rsidRPr="00714775">
        <w:rPr>
          <w:rStyle w:val="FootnoteReference"/>
          <w:rFonts w:ascii="Arial" w:hAnsi="Arial" w:cs="Arial"/>
        </w:rPr>
        <w:footnoteReference w:id="6"/>
      </w:r>
      <w:r w:rsidR="00F224AD" w:rsidRPr="00714775">
        <w:rPr>
          <w:rFonts w:ascii="Arial" w:hAnsi="Arial" w:cs="Arial"/>
        </w:rPr>
        <w:t xml:space="preserve"> </w:t>
      </w:r>
      <w:r w:rsidRPr="00714775">
        <w:rPr>
          <w:rFonts w:ascii="Arial" w:hAnsi="Arial" w:cs="Arial"/>
        </w:rPr>
        <w:t xml:space="preserve">should be </w:t>
      </w:r>
      <w:r w:rsidR="00412A15" w:rsidRPr="00714775">
        <w:rPr>
          <w:rFonts w:ascii="Arial" w:hAnsi="Arial" w:cs="Arial"/>
        </w:rPr>
        <w:t xml:space="preserve">undertaken </w:t>
      </w:r>
      <w:r w:rsidR="00A972F5" w:rsidRPr="00714775">
        <w:rPr>
          <w:rFonts w:ascii="Arial" w:hAnsi="Arial" w:cs="Arial"/>
        </w:rPr>
        <w:t xml:space="preserve">to </w:t>
      </w:r>
      <w:r w:rsidR="00412A15" w:rsidRPr="00714775">
        <w:rPr>
          <w:rFonts w:ascii="Arial" w:hAnsi="Arial" w:cs="Arial"/>
        </w:rPr>
        <w:t xml:space="preserve">examine how health determinants, access to relevant health services and outcomes are distributed across the population </w:t>
      </w:r>
      <w:r w:rsidR="00A972F5" w:rsidRPr="00714775">
        <w:rPr>
          <w:rFonts w:ascii="Arial" w:hAnsi="Arial" w:cs="Arial"/>
        </w:rPr>
        <w:t xml:space="preserve">and whether the treatments </w:t>
      </w:r>
      <w:r w:rsidR="00F224AD" w:rsidRPr="00714775">
        <w:rPr>
          <w:rFonts w:ascii="Arial" w:hAnsi="Arial" w:cs="Arial"/>
        </w:rPr>
        <w:t xml:space="preserve">provided </w:t>
      </w:r>
      <w:r w:rsidRPr="00714775">
        <w:rPr>
          <w:rFonts w:ascii="Arial" w:hAnsi="Arial" w:cs="Arial"/>
        </w:rPr>
        <w:t xml:space="preserve">address </w:t>
      </w:r>
      <w:r w:rsidR="00412A15" w:rsidRPr="00714775">
        <w:rPr>
          <w:rFonts w:ascii="Arial" w:hAnsi="Arial" w:cs="Arial"/>
        </w:rPr>
        <w:t xml:space="preserve">population </w:t>
      </w:r>
      <w:r w:rsidR="00A972F5" w:rsidRPr="00714775">
        <w:rPr>
          <w:rFonts w:ascii="Arial" w:hAnsi="Arial" w:cs="Arial"/>
        </w:rPr>
        <w:t>needs</w:t>
      </w:r>
      <w:r w:rsidR="00412A15" w:rsidRPr="00714775">
        <w:rPr>
          <w:rFonts w:ascii="Arial" w:hAnsi="Arial" w:cs="Arial"/>
        </w:rPr>
        <w:t>.</w:t>
      </w:r>
    </w:p>
    <w:p w14:paraId="008E527E" w14:textId="6EFF5D39" w:rsidR="00503657" w:rsidRPr="00714775" w:rsidRDefault="00503657" w:rsidP="00714775">
      <w:pPr>
        <w:pStyle w:val="ListParagraph"/>
        <w:numPr>
          <w:ilvl w:val="0"/>
          <w:numId w:val="5"/>
        </w:numPr>
        <w:spacing w:after="200" w:line="276" w:lineRule="auto"/>
        <w:ind w:left="357" w:hanging="357"/>
        <w:contextualSpacing w:val="0"/>
        <w:jc w:val="both"/>
        <w:rPr>
          <w:rFonts w:ascii="Arial" w:hAnsi="Arial" w:cs="Arial"/>
          <w:iCs/>
        </w:rPr>
      </w:pPr>
      <w:r w:rsidRPr="00714775">
        <w:rPr>
          <w:rFonts w:ascii="Arial" w:hAnsi="Arial" w:cs="Arial"/>
        </w:rPr>
        <w:lastRenderedPageBreak/>
        <w:t>Health Education England, working in partnership with Primary Care Networks and Primary Care in Gloucestershire, have developed a Programme which establishes a Public Health Fellow in each of its Primary Care Training Hubs. The Public Health Fellow is delivering a project to improve the uptake of bowel cancer screening by deprived populations. This work links to the Health Inequality Early Death targets. These projects should be examined to understand the potential benefit of delivering similar projects in other parts of the region</w:t>
      </w:r>
    </w:p>
    <w:p w14:paraId="48BF29C3" w14:textId="120F5C14" w:rsidR="00317F57" w:rsidRPr="00055D3E" w:rsidRDefault="00317F57" w:rsidP="00714775">
      <w:pPr>
        <w:pStyle w:val="ListParagraph"/>
        <w:numPr>
          <w:ilvl w:val="0"/>
          <w:numId w:val="5"/>
        </w:numPr>
        <w:spacing w:after="200" w:line="276" w:lineRule="auto"/>
        <w:ind w:left="357" w:hanging="357"/>
        <w:contextualSpacing w:val="0"/>
        <w:jc w:val="both"/>
        <w:rPr>
          <w:rFonts w:ascii="Arial" w:hAnsi="Arial" w:cs="Arial"/>
          <w:iCs/>
        </w:rPr>
      </w:pPr>
      <w:r w:rsidRPr="00714775">
        <w:rPr>
          <w:rFonts w:ascii="Arial" w:hAnsi="Arial" w:cs="Arial"/>
        </w:rPr>
        <w:t xml:space="preserve">Geneticists </w:t>
      </w:r>
      <w:r w:rsidRPr="00055D3E">
        <w:rPr>
          <w:rFonts w:ascii="Arial" w:hAnsi="Arial" w:cs="Arial"/>
        </w:rPr>
        <w:t xml:space="preserve">should be engaged in the treatment and care of </w:t>
      </w:r>
      <w:r w:rsidR="00714775" w:rsidRPr="00055D3E">
        <w:rPr>
          <w:rFonts w:ascii="Arial" w:hAnsi="Arial" w:cs="Arial"/>
        </w:rPr>
        <w:t>certain patient</w:t>
      </w:r>
      <w:r w:rsidRPr="00055D3E">
        <w:rPr>
          <w:rFonts w:ascii="Arial" w:hAnsi="Arial" w:cs="Arial"/>
        </w:rPr>
        <w:t xml:space="preserve"> cohorts as this has been found to be beneficial.</w:t>
      </w:r>
    </w:p>
    <w:p w14:paraId="36F188B5" w14:textId="3D990352" w:rsidR="00711B15" w:rsidRPr="00714775" w:rsidRDefault="00711B15" w:rsidP="00714775">
      <w:pPr>
        <w:pStyle w:val="ListParagraph"/>
        <w:numPr>
          <w:ilvl w:val="0"/>
          <w:numId w:val="5"/>
        </w:numPr>
        <w:spacing w:after="200" w:line="276" w:lineRule="auto"/>
        <w:ind w:left="357" w:hanging="357"/>
        <w:contextualSpacing w:val="0"/>
        <w:jc w:val="both"/>
        <w:rPr>
          <w:rFonts w:ascii="Arial" w:hAnsi="Arial" w:cs="Arial"/>
        </w:rPr>
      </w:pPr>
      <w:r w:rsidRPr="00055D3E">
        <w:rPr>
          <w:rFonts w:ascii="Arial" w:hAnsi="Arial" w:cs="Arial"/>
        </w:rPr>
        <w:t>A patient’s frailty score should be</w:t>
      </w:r>
      <w:r w:rsidRPr="00714775">
        <w:rPr>
          <w:rFonts w:ascii="Arial" w:hAnsi="Arial" w:cs="Arial"/>
        </w:rPr>
        <w:t xml:space="preserve"> included in the referral form as part of the referral process. </w:t>
      </w:r>
    </w:p>
    <w:p w14:paraId="6B165AFF" w14:textId="4AE9238A" w:rsidR="00711B15" w:rsidRPr="00055D3E" w:rsidRDefault="00711B15" w:rsidP="00714775">
      <w:pPr>
        <w:pStyle w:val="ListParagraph"/>
        <w:numPr>
          <w:ilvl w:val="0"/>
          <w:numId w:val="5"/>
        </w:numPr>
        <w:spacing w:after="200" w:line="276" w:lineRule="auto"/>
        <w:ind w:left="357" w:hanging="357"/>
        <w:contextualSpacing w:val="0"/>
        <w:jc w:val="both"/>
        <w:rPr>
          <w:rFonts w:ascii="Arial" w:hAnsi="Arial" w:cs="Arial"/>
        </w:rPr>
      </w:pPr>
      <w:r w:rsidRPr="00714775">
        <w:rPr>
          <w:rFonts w:ascii="Arial" w:hAnsi="Arial" w:cs="Arial"/>
        </w:rPr>
        <w:t xml:space="preserve">The Clinical Frailty Scale [CFS] (Dalhousie </w:t>
      </w:r>
      <w:r w:rsidRPr="00055D3E">
        <w:rPr>
          <w:rFonts w:ascii="Arial" w:hAnsi="Arial" w:cs="Arial"/>
        </w:rPr>
        <w:t>University)</w:t>
      </w:r>
      <w:r w:rsidRPr="00055D3E">
        <w:rPr>
          <w:rStyle w:val="FootnoteReference"/>
          <w:rFonts w:ascii="Arial" w:hAnsi="Arial" w:cs="Arial"/>
        </w:rPr>
        <w:footnoteReference w:id="7"/>
      </w:r>
      <w:r w:rsidRPr="00055D3E">
        <w:rPr>
          <w:rFonts w:ascii="Arial" w:hAnsi="Arial" w:cs="Arial"/>
        </w:rPr>
        <w:t xml:space="preserve"> </w:t>
      </w:r>
      <w:r w:rsidR="00013EF0" w:rsidRPr="00055D3E">
        <w:rPr>
          <w:rFonts w:ascii="Arial" w:hAnsi="Arial" w:cs="Arial"/>
        </w:rPr>
        <w:t>[</w:t>
      </w:r>
      <w:r w:rsidRPr="00055D3E">
        <w:rPr>
          <w:rFonts w:ascii="Arial" w:hAnsi="Arial" w:cs="Arial"/>
        </w:rPr>
        <w:t>NICE guidance</w:t>
      </w:r>
      <w:r w:rsidR="00013EF0" w:rsidRPr="00055D3E">
        <w:rPr>
          <w:rFonts w:ascii="Arial" w:hAnsi="Arial" w:cs="Arial"/>
        </w:rPr>
        <w:t>]</w:t>
      </w:r>
      <w:r w:rsidRPr="00055D3E">
        <w:rPr>
          <w:rFonts w:ascii="Arial" w:hAnsi="Arial" w:cs="Arial"/>
        </w:rPr>
        <w:t xml:space="preserve"> should be readily available </w:t>
      </w:r>
      <w:r w:rsidR="00013EF0" w:rsidRPr="00055D3E">
        <w:rPr>
          <w:rFonts w:ascii="Arial" w:hAnsi="Arial" w:cs="Arial"/>
        </w:rPr>
        <w:t xml:space="preserve">for primary care settings </w:t>
      </w:r>
      <w:r w:rsidRPr="00055D3E">
        <w:rPr>
          <w:rFonts w:ascii="Arial" w:hAnsi="Arial" w:cs="Arial"/>
        </w:rPr>
        <w:t xml:space="preserve">so that a “score” is allocated from the beginning of the patient’s journey. </w:t>
      </w:r>
    </w:p>
    <w:p w14:paraId="2096401E" w14:textId="77777777" w:rsidR="00132A8C" w:rsidRPr="0035710A" w:rsidRDefault="00DD30F2" w:rsidP="0035710A">
      <w:pPr>
        <w:pStyle w:val="ListParagraph"/>
        <w:numPr>
          <w:ilvl w:val="0"/>
          <w:numId w:val="5"/>
        </w:numPr>
        <w:spacing w:after="200" w:line="276" w:lineRule="auto"/>
        <w:ind w:left="357" w:hanging="357"/>
        <w:contextualSpacing w:val="0"/>
        <w:jc w:val="both"/>
        <w:rPr>
          <w:rFonts w:ascii="Arial" w:hAnsi="Arial" w:cs="Arial"/>
        </w:rPr>
      </w:pPr>
      <w:r w:rsidRPr="00055D3E">
        <w:rPr>
          <w:rFonts w:ascii="Arial" w:hAnsi="Arial" w:cs="Arial"/>
        </w:rPr>
        <w:t>Advice and guidance support should be made</w:t>
      </w:r>
      <w:r w:rsidRPr="0035710A">
        <w:rPr>
          <w:rFonts w:ascii="Arial" w:hAnsi="Arial" w:cs="Arial"/>
        </w:rPr>
        <w:t xml:space="preserve"> available alongside the QFIT screening as this is beneficial for cases of symptomatic patients with a negative screening result. </w:t>
      </w:r>
    </w:p>
    <w:p w14:paraId="12FBA9B9" w14:textId="09C0CFC2" w:rsidR="00503657" w:rsidRPr="00B4487D" w:rsidRDefault="00503657" w:rsidP="00B4487D">
      <w:pPr>
        <w:pStyle w:val="ListParagraph"/>
        <w:numPr>
          <w:ilvl w:val="0"/>
          <w:numId w:val="5"/>
        </w:numPr>
        <w:spacing w:after="200" w:line="276" w:lineRule="auto"/>
        <w:ind w:left="357" w:hanging="357"/>
        <w:contextualSpacing w:val="0"/>
        <w:jc w:val="both"/>
        <w:rPr>
          <w:rFonts w:ascii="Arial" w:hAnsi="Arial" w:cs="Arial"/>
        </w:rPr>
      </w:pPr>
      <w:r w:rsidRPr="00B4487D">
        <w:rPr>
          <w:rFonts w:ascii="Arial" w:hAnsi="Arial" w:cs="Arial"/>
        </w:rPr>
        <w:t>An analysis of workforce requirements across the region would be beneficial to sustain current needs and respond to projected demand. It would also help to understand the lead time to getting the required workforce levels and whether there are any issues in the region.</w:t>
      </w:r>
    </w:p>
    <w:p w14:paraId="15024505" w14:textId="0B9D93B3" w:rsidR="0055691A" w:rsidRPr="00B4487D" w:rsidRDefault="00DB4ADA" w:rsidP="00B4487D">
      <w:pPr>
        <w:pStyle w:val="ListParagraph"/>
        <w:numPr>
          <w:ilvl w:val="0"/>
          <w:numId w:val="5"/>
        </w:numPr>
        <w:spacing w:after="200" w:line="276" w:lineRule="auto"/>
        <w:ind w:left="0" w:hanging="357"/>
        <w:contextualSpacing w:val="0"/>
        <w:jc w:val="both"/>
        <w:rPr>
          <w:rFonts w:ascii="Arial" w:hAnsi="Arial" w:cs="Arial"/>
          <w:iCs/>
        </w:rPr>
      </w:pPr>
      <w:r w:rsidRPr="00B4487D">
        <w:rPr>
          <w:rFonts w:ascii="Arial" w:hAnsi="Arial" w:cs="Arial"/>
        </w:rPr>
        <w:t>The project findings should be shared at</w:t>
      </w:r>
      <w:r w:rsidR="001D1475" w:rsidRPr="00B4487D">
        <w:rPr>
          <w:rFonts w:ascii="Arial" w:hAnsi="Arial" w:cs="Arial"/>
        </w:rPr>
        <w:t xml:space="preserve"> national and regional levels</w:t>
      </w:r>
      <w:r w:rsidR="001C6136" w:rsidRPr="00B4487D">
        <w:rPr>
          <w:rFonts w:ascii="Arial" w:hAnsi="Arial" w:cs="Arial"/>
        </w:rPr>
        <w:t xml:space="preserve"> such as, n</w:t>
      </w:r>
      <w:r w:rsidR="001D1475" w:rsidRPr="00B4487D">
        <w:rPr>
          <w:rFonts w:ascii="Arial" w:hAnsi="Arial" w:cs="Arial"/>
        </w:rPr>
        <w:t xml:space="preserve">ational agendas such as </w:t>
      </w:r>
      <w:r w:rsidR="00696663" w:rsidRPr="00B4487D">
        <w:rPr>
          <w:rFonts w:ascii="Arial" w:hAnsi="Arial" w:cs="Arial"/>
        </w:rPr>
        <w:t>“Get it Right First Time” (GIRFT)</w:t>
      </w:r>
      <w:r w:rsidR="00396351" w:rsidRPr="00B4487D">
        <w:rPr>
          <w:rFonts w:ascii="Arial" w:hAnsi="Arial" w:cs="Arial"/>
        </w:rPr>
        <w:t xml:space="preserve"> </w:t>
      </w:r>
      <w:r w:rsidR="001D1475" w:rsidRPr="00B4487D">
        <w:rPr>
          <w:rFonts w:ascii="Arial" w:hAnsi="Arial" w:cs="Arial"/>
        </w:rPr>
        <w:t xml:space="preserve">and </w:t>
      </w:r>
      <w:r w:rsidR="00396351" w:rsidRPr="00B4487D">
        <w:rPr>
          <w:rFonts w:ascii="Arial" w:hAnsi="Arial" w:cs="Arial"/>
        </w:rPr>
        <w:t>g</w:t>
      </w:r>
      <w:r w:rsidR="00396351" w:rsidRPr="00B4487D">
        <w:rPr>
          <w:rFonts w:ascii="Arial" w:hAnsi="Arial" w:cs="Arial"/>
          <w:color w:val="111111"/>
          <w:shd w:val="clear" w:color="auto" w:fill="FFFFFF"/>
        </w:rPr>
        <w:t>astroesophageal reflux disease (GERD)</w:t>
      </w:r>
      <w:r w:rsidR="001C6136" w:rsidRPr="00B4487D">
        <w:rPr>
          <w:rFonts w:ascii="Arial" w:hAnsi="Arial" w:cs="Arial"/>
          <w:color w:val="111111"/>
          <w:shd w:val="clear" w:color="auto" w:fill="FFFFFF"/>
        </w:rPr>
        <w:t xml:space="preserve"> regional and national</w:t>
      </w:r>
      <w:r w:rsidR="00396351" w:rsidRPr="00B4487D">
        <w:rPr>
          <w:rFonts w:ascii="Arial" w:hAnsi="Arial" w:cs="Arial"/>
          <w:color w:val="111111"/>
          <w:shd w:val="clear" w:color="auto" w:fill="FFFFFF"/>
        </w:rPr>
        <w:t xml:space="preserve"> </w:t>
      </w:r>
      <w:r w:rsidR="001C6136" w:rsidRPr="00B4487D">
        <w:rPr>
          <w:rFonts w:ascii="Arial" w:hAnsi="Arial" w:cs="Arial"/>
        </w:rPr>
        <w:t>activities at both national and regional level.</w:t>
      </w:r>
    </w:p>
    <w:p w14:paraId="2DAE7CF9" w14:textId="77777777" w:rsidR="000F6B73" w:rsidRPr="00B4487D" w:rsidRDefault="00841675" w:rsidP="00B4487D">
      <w:pPr>
        <w:pStyle w:val="ListParagraph"/>
        <w:numPr>
          <w:ilvl w:val="0"/>
          <w:numId w:val="5"/>
        </w:numPr>
        <w:spacing w:after="200" w:line="276" w:lineRule="auto"/>
        <w:ind w:left="0"/>
        <w:contextualSpacing w:val="0"/>
        <w:jc w:val="both"/>
        <w:rPr>
          <w:rFonts w:ascii="Arial" w:hAnsi="Arial" w:cs="Arial"/>
        </w:rPr>
      </w:pPr>
      <w:bookmarkStart w:id="5" w:name="_Hlk66890957"/>
      <w:r w:rsidRPr="00B4487D">
        <w:rPr>
          <w:rFonts w:ascii="Arial" w:hAnsi="Arial" w:cs="Arial"/>
        </w:rPr>
        <w:t>The Senate</w:t>
      </w:r>
      <w:r w:rsidR="00397F0E" w:rsidRPr="00B4487D">
        <w:rPr>
          <w:rFonts w:ascii="Arial" w:hAnsi="Arial" w:cs="Arial"/>
        </w:rPr>
        <w:t xml:space="preserve"> </w:t>
      </w:r>
      <w:r w:rsidRPr="00B4487D">
        <w:rPr>
          <w:rFonts w:ascii="Arial" w:hAnsi="Arial" w:cs="Arial"/>
          <w:sz w:val="22"/>
          <w:szCs w:val="22"/>
        </w:rPr>
        <w:t>recommends that</w:t>
      </w:r>
      <w:r w:rsidRPr="00B4487D">
        <w:rPr>
          <w:rFonts w:ascii="Arial" w:hAnsi="Arial" w:cs="Arial"/>
        </w:rPr>
        <w:t xml:space="preserve"> the learning and experience from the Peer Review Project should be promoted to Commissioners and Providers</w:t>
      </w:r>
      <w:r w:rsidR="00397F0E" w:rsidRPr="00B4487D">
        <w:rPr>
          <w:rFonts w:ascii="Arial" w:hAnsi="Arial" w:cs="Arial"/>
        </w:rPr>
        <w:t xml:space="preserve"> particularly considering the third </w:t>
      </w:r>
      <w:r w:rsidRPr="00B4487D">
        <w:rPr>
          <w:rFonts w:ascii="Arial" w:hAnsi="Arial" w:cs="Arial"/>
        </w:rPr>
        <w:t>question which focuse</w:t>
      </w:r>
      <w:r w:rsidR="00132A8C" w:rsidRPr="00B4487D">
        <w:rPr>
          <w:rFonts w:ascii="Arial" w:hAnsi="Arial" w:cs="Arial"/>
        </w:rPr>
        <w:t>s</w:t>
      </w:r>
      <w:r w:rsidRPr="00B4487D">
        <w:rPr>
          <w:rFonts w:ascii="Arial" w:hAnsi="Arial" w:cs="Arial"/>
        </w:rPr>
        <w:t xml:space="preserve"> on </w:t>
      </w:r>
      <w:r w:rsidR="00397F0E" w:rsidRPr="00B4487D">
        <w:rPr>
          <w:rFonts w:ascii="Arial" w:hAnsi="Arial" w:cs="Arial"/>
        </w:rPr>
        <w:t xml:space="preserve">how services will be rebuilt following the pandemic. </w:t>
      </w:r>
    </w:p>
    <w:p w14:paraId="288E254C" w14:textId="7156E57A" w:rsidR="00137C2C" w:rsidRPr="00B4487D" w:rsidRDefault="00397F0E" w:rsidP="00B4487D">
      <w:pPr>
        <w:pStyle w:val="ListParagraph"/>
        <w:spacing w:after="200" w:line="276" w:lineRule="auto"/>
        <w:ind w:left="0"/>
        <w:contextualSpacing w:val="0"/>
        <w:jc w:val="both"/>
        <w:rPr>
          <w:rFonts w:ascii="Arial" w:hAnsi="Arial" w:cs="Arial"/>
        </w:rPr>
      </w:pPr>
      <w:r w:rsidRPr="00B4487D">
        <w:rPr>
          <w:rFonts w:ascii="Arial" w:hAnsi="Arial" w:cs="Arial"/>
        </w:rPr>
        <w:t xml:space="preserve">A key consideration is the target audience for these recommendations to ensure that the work is promoted and externalized within </w:t>
      </w:r>
      <w:r w:rsidR="00561F61" w:rsidRPr="00B4487D">
        <w:rPr>
          <w:rFonts w:ascii="Arial" w:hAnsi="Arial" w:cs="Arial"/>
        </w:rPr>
        <w:t>the Cancer Alliances.</w:t>
      </w:r>
    </w:p>
    <w:bookmarkEnd w:id="5"/>
    <w:p w14:paraId="719D9689" w14:textId="7761C790" w:rsidR="00617157" w:rsidRPr="00B4487D" w:rsidRDefault="00617157" w:rsidP="00B4487D">
      <w:pPr>
        <w:spacing w:after="0"/>
        <w:rPr>
          <w:rFonts w:ascii="Arial" w:hAnsi="Arial" w:cs="Arial"/>
          <w:sz w:val="18"/>
          <w:szCs w:val="18"/>
        </w:rPr>
      </w:pPr>
      <w:r w:rsidRPr="00B4487D">
        <w:rPr>
          <w:rFonts w:ascii="Arial" w:hAnsi="Arial" w:cs="Arial"/>
          <w:sz w:val="18"/>
          <w:szCs w:val="18"/>
        </w:rPr>
        <w:t>Date</w:t>
      </w:r>
      <w:r w:rsidR="002635C8" w:rsidRPr="00B4487D">
        <w:rPr>
          <w:rFonts w:ascii="Arial" w:hAnsi="Arial" w:cs="Arial"/>
          <w:sz w:val="18"/>
          <w:szCs w:val="18"/>
        </w:rPr>
        <w:t xml:space="preserve"> created</w:t>
      </w:r>
      <w:r w:rsidRPr="00B4487D">
        <w:rPr>
          <w:rFonts w:ascii="Arial" w:hAnsi="Arial" w:cs="Arial"/>
          <w:sz w:val="18"/>
          <w:szCs w:val="18"/>
        </w:rPr>
        <w:t>:</w:t>
      </w:r>
      <w:r w:rsidRPr="00B4487D">
        <w:rPr>
          <w:rFonts w:ascii="Arial" w:hAnsi="Arial" w:cs="Arial"/>
          <w:sz w:val="18"/>
          <w:szCs w:val="18"/>
        </w:rPr>
        <w:tab/>
        <w:t>17 March 2021</w:t>
      </w:r>
    </w:p>
    <w:p w14:paraId="3209F69B" w14:textId="77777777" w:rsidR="00B4487D" w:rsidRPr="00B4487D" w:rsidRDefault="002635C8" w:rsidP="00B4487D">
      <w:pPr>
        <w:spacing w:after="0"/>
        <w:rPr>
          <w:rFonts w:ascii="Arial" w:hAnsi="Arial" w:cs="Arial"/>
          <w:sz w:val="18"/>
          <w:szCs w:val="18"/>
        </w:rPr>
      </w:pPr>
      <w:r w:rsidRPr="00B4487D">
        <w:rPr>
          <w:rFonts w:ascii="Arial" w:hAnsi="Arial" w:cs="Arial"/>
          <w:sz w:val="18"/>
          <w:szCs w:val="18"/>
        </w:rPr>
        <w:t>Last updated:</w:t>
      </w:r>
      <w:r w:rsidRPr="00B4487D">
        <w:rPr>
          <w:rFonts w:ascii="Arial" w:hAnsi="Arial" w:cs="Arial"/>
          <w:sz w:val="18"/>
          <w:szCs w:val="18"/>
        </w:rPr>
        <w:tab/>
        <w:t>28 April 2021</w:t>
      </w:r>
    </w:p>
    <w:p w14:paraId="26A2EF19" w14:textId="77777777" w:rsidR="00B4487D" w:rsidRPr="00B4487D" w:rsidRDefault="00617157" w:rsidP="00B4487D">
      <w:pPr>
        <w:spacing w:after="0"/>
        <w:rPr>
          <w:rFonts w:ascii="Arial" w:hAnsi="Arial" w:cs="Arial"/>
          <w:sz w:val="18"/>
          <w:szCs w:val="18"/>
        </w:rPr>
      </w:pPr>
      <w:r w:rsidRPr="00B4487D">
        <w:rPr>
          <w:rFonts w:ascii="Arial" w:hAnsi="Arial" w:cs="Arial"/>
          <w:sz w:val="18"/>
          <w:szCs w:val="18"/>
        </w:rPr>
        <w:t xml:space="preserve">Version: </w:t>
      </w:r>
      <w:r w:rsidR="002635C8" w:rsidRPr="00B4487D">
        <w:rPr>
          <w:rFonts w:ascii="Arial" w:hAnsi="Arial" w:cs="Arial"/>
          <w:sz w:val="18"/>
          <w:szCs w:val="18"/>
        </w:rPr>
        <w:tab/>
      </w:r>
      <w:r w:rsidRPr="00B4487D">
        <w:rPr>
          <w:rFonts w:ascii="Arial" w:hAnsi="Arial" w:cs="Arial"/>
          <w:sz w:val="18"/>
          <w:szCs w:val="18"/>
        </w:rPr>
        <w:t>D</w:t>
      </w:r>
      <w:r w:rsidR="00B4487D" w:rsidRPr="00B4487D">
        <w:rPr>
          <w:rFonts w:ascii="Arial" w:hAnsi="Arial" w:cs="Arial"/>
          <w:sz w:val="18"/>
          <w:szCs w:val="18"/>
        </w:rPr>
        <w:t>r</w:t>
      </w:r>
      <w:r w:rsidRPr="00B4487D">
        <w:rPr>
          <w:rFonts w:ascii="Arial" w:hAnsi="Arial" w:cs="Arial"/>
          <w:sz w:val="18"/>
          <w:szCs w:val="18"/>
        </w:rPr>
        <w:t xml:space="preserve">aft </w:t>
      </w:r>
      <w:r w:rsidR="002635C8" w:rsidRPr="00B4487D">
        <w:rPr>
          <w:rFonts w:ascii="Arial" w:hAnsi="Arial" w:cs="Arial"/>
          <w:sz w:val="18"/>
          <w:szCs w:val="18"/>
        </w:rPr>
        <w:t>v 0.2</w:t>
      </w:r>
    </w:p>
    <w:p w14:paraId="6408D40D" w14:textId="7F84D9C2" w:rsidR="00617157" w:rsidRPr="00B4487D" w:rsidRDefault="00617157" w:rsidP="00B4487D">
      <w:pPr>
        <w:spacing w:after="0"/>
        <w:rPr>
          <w:rFonts w:ascii="Arial" w:hAnsi="Arial" w:cs="Arial"/>
          <w:sz w:val="18"/>
          <w:szCs w:val="18"/>
        </w:rPr>
      </w:pPr>
      <w:r w:rsidRPr="00B4487D">
        <w:rPr>
          <w:rFonts w:ascii="Arial" w:hAnsi="Arial" w:cs="Arial"/>
          <w:sz w:val="18"/>
          <w:szCs w:val="18"/>
        </w:rPr>
        <w:t xml:space="preserve">Prepared: Ajike Alli-Ameh, Head of South West Clinical Senate </w:t>
      </w:r>
    </w:p>
    <w:p w14:paraId="41BBE205" w14:textId="77777777" w:rsidR="00617157" w:rsidRPr="00B4487D" w:rsidRDefault="00617157" w:rsidP="00B4487D">
      <w:pPr>
        <w:pStyle w:val="NormalWeb"/>
        <w:spacing w:before="0" w:beforeAutospacing="0" w:after="0" w:afterAutospacing="0"/>
        <w:rPr>
          <w:rFonts w:ascii="Arial" w:hAnsi="Arial" w:cs="Arial"/>
          <w:sz w:val="18"/>
          <w:szCs w:val="18"/>
        </w:rPr>
      </w:pPr>
      <w:r w:rsidRPr="00B4487D">
        <w:rPr>
          <w:rFonts w:ascii="Arial" w:hAnsi="Arial" w:cs="Arial"/>
          <w:sz w:val="18"/>
          <w:szCs w:val="18"/>
        </w:rPr>
        <w:t xml:space="preserve">Signed off: Dr Sally Pearson, Chair of South West Clinical Senate </w:t>
      </w:r>
    </w:p>
    <w:p w14:paraId="4DB16DAE" w14:textId="42FCA6F3" w:rsidR="00617157" w:rsidRPr="00DB4ADA" w:rsidRDefault="00617157" w:rsidP="00BE5D31">
      <w:pPr>
        <w:spacing w:line="300" w:lineRule="auto"/>
        <w:ind w:left="-142" w:right="-914"/>
        <w:rPr>
          <w:rFonts w:asciiTheme="majorHAnsi" w:hAnsiTheme="majorHAnsi"/>
          <w:sz w:val="14"/>
          <w:szCs w:val="14"/>
        </w:rPr>
      </w:pPr>
    </w:p>
    <w:sectPr w:rsidR="00617157" w:rsidRPr="00DB4AD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CCEF" w14:textId="77777777" w:rsidR="009F444C" w:rsidRDefault="009F444C" w:rsidP="0042052D">
      <w:pPr>
        <w:spacing w:after="0" w:line="240" w:lineRule="auto"/>
      </w:pPr>
      <w:r>
        <w:separator/>
      </w:r>
    </w:p>
  </w:endnote>
  <w:endnote w:type="continuationSeparator" w:id="0">
    <w:p w14:paraId="031295BD" w14:textId="77777777" w:rsidR="009F444C" w:rsidRDefault="009F444C" w:rsidP="0042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A1F8" w14:textId="77777777" w:rsidR="0042052D" w:rsidRDefault="0042052D">
    <w:pPr>
      <w:pStyle w:val="Footer"/>
    </w:pPr>
  </w:p>
  <w:p w14:paraId="56229A08" w14:textId="53BE19FC" w:rsidR="0042052D" w:rsidRPr="001D34B5" w:rsidRDefault="0042052D">
    <w:pPr>
      <w:pStyle w:val="Footer"/>
      <w:rPr>
        <w:rFonts w:ascii="Arial" w:hAnsi="Arial" w:cs="Arial"/>
        <w:sz w:val="20"/>
        <w:szCs w:val="20"/>
      </w:rPr>
    </w:pPr>
    <w:r w:rsidRPr="001D34B5">
      <w:rPr>
        <w:rFonts w:ascii="Arial" w:hAnsi="Arial" w:cs="Arial"/>
        <w:sz w:val="20"/>
        <w:szCs w:val="20"/>
      </w:rPr>
      <w:t>File path</w:t>
    </w:r>
    <w:r w:rsidR="00BE5D31">
      <w:rPr>
        <w:rFonts w:ascii="Arial" w:hAnsi="Arial" w:cs="Arial"/>
        <w:sz w:val="20"/>
        <w:szCs w:val="20"/>
      </w:rPr>
      <w:t>:??</w:t>
    </w:r>
  </w:p>
  <w:p w14:paraId="087C172D" w14:textId="77777777" w:rsidR="0042052D" w:rsidRPr="001D34B5" w:rsidRDefault="00AC3B43" w:rsidP="0042052D">
    <w:pPr>
      <w:pStyle w:val="Footer"/>
      <w:jc w:val="right"/>
      <w:rPr>
        <w:rFonts w:ascii="Arial" w:hAnsi="Arial" w:cs="Arial"/>
        <w:sz w:val="20"/>
        <w:szCs w:val="20"/>
      </w:rPr>
    </w:pPr>
    <w:sdt>
      <w:sdtPr>
        <w:rPr>
          <w:rFonts w:ascii="Arial" w:hAnsi="Arial" w:cs="Arial"/>
          <w:sz w:val="20"/>
          <w:szCs w:val="20"/>
        </w:rPr>
        <w:id w:val="1643075970"/>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0042052D" w:rsidRPr="001D34B5">
              <w:rPr>
                <w:rFonts w:ascii="Arial" w:hAnsi="Arial" w:cs="Arial"/>
                <w:sz w:val="20"/>
                <w:szCs w:val="20"/>
              </w:rPr>
              <w:t xml:space="preserve">Page </w:t>
            </w:r>
            <w:r w:rsidR="0042052D" w:rsidRPr="001D34B5">
              <w:rPr>
                <w:rFonts w:ascii="Arial" w:hAnsi="Arial" w:cs="Arial"/>
                <w:b/>
                <w:bCs/>
                <w:sz w:val="20"/>
                <w:szCs w:val="20"/>
              </w:rPr>
              <w:fldChar w:fldCharType="begin"/>
            </w:r>
            <w:r w:rsidR="0042052D" w:rsidRPr="001D34B5">
              <w:rPr>
                <w:rFonts w:ascii="Arial" w:hAnsi="Arial" w:cs="Arial"/>
                <w:b/>
                <w:bCs/>
                <w:sz w:val="20"/>
                <w:szCs w:val="20"/>
              </w:rPr>
              <w:instrText xml:space="preserve"> PAGE </w:instrText>
            </w:r>
            <w:r w:rsidR="0042052D" w:rsidRPr="001D34B5">
              <w:rPr>
                <w:rFonts w:ascii="Arial" w:hAnsi="Arial" w:cs="Arial"/>
                <w:b/>
                <w:bCs/>
                <w:sz w:val="20"/>
                <w:szCs w:val="20"/>
              </w:rPr>
              <w:fldChar w:fldCharType="separate"/>
            </w:r>
            <w:r w:rsidR="0023537A">
              <w:rPr>
                <w:rFonts w:ascii="Arial" w:hAnsi="Arial" w:cs="Arial"/>
                <w:b/>
                <w:bCs/>
                <w:noProof/>
                <w:sz w:val="20"/>
                <w:szCs w:val="20"/>
              </w:rPr>
              <w:t>2</w:t>
            </w:r>
            <w:r w:rsidR="0042052D" w:rsidRPr="001D34B5">
              <w:rPr>
                <w:rFonts w:ascii="Arial" w:hAnsi="Arial" w:cs="Arial"/>
                <w:b/>
                <w:bCs/>
                <w:sz w:val="20"/>
                <w:szCs w:val="20"/>
              </w:rPr>
              <w:fldChar w:fldCharType="end"/>
            </w:r>
            <w:r w:rsidR="0042052D" w:rsidRPr="001D34B5">
              <w:rPr>
                <w:rFonts w:ascii="Arial" w:hAnsi="Arial" w:cs="Arial"/>
                <w:sz w:val="20"/>
                <w:szCs w:val="20"/>
              </w:rPr>
              <w:t xml:space="preserve"> of </w:t>
            </w:r>
            <w:r w:rsidR="0042052D" w:rsidRPr="001D34B5">
              <w:rPr>
                <w:rFonts w:ascii="Arial" w:hAnsi="Arial" w:cs="Arial"/>
                <w:b/>
                <w:bCs/>
                <w:sz w:val="20"/>
                <w:szCs w:val="20"/>
              </w:rPr>
              <w:fldChar w:fldCharType="begin"/>
            </w:r>
            <w:r w:rsidR="0042052D" w:rsidRPr="001D34B5">
              <w:rPr>
                <w:rFonts w:ascii="Arial" w:hAnsi="Arial" w:cs="Arial"/>
                <w:b/>
                <w:bCs/>
                <w:sz w:val="20"/>
                <w:szCs w:val="20"/>
              </w:rPr>
              <w:instrText xml:space="preserve"> NUMPAGES  </w:instrText>
            </w:r>
            <w:r w:rsidR="0042052D" w:rsidRPr="001D34B5">
              <w:rPr>
                <w:rFonts w:ascii="Arial" w:hAnsi="Arial" w:cs="Arial"/>
                <w:b/>
                <w:bCs/>
                <w:sz w:val="20"/>
                <w:szCs w:val="20"/>
              </w:rPr>
              <w:fldChar w:fldCharType="separate"/>
            </w:r>
            <w:r w:rsidR="0023537A">
              <w:rPr>
                <w:rFonts w:ascii="Arial" w:hAnsi="Arial" w:cs="Arial"/>
                <w:b/>
                <w:bCs/>
                <w:noProof/>
                <w:sz w:val="20"/>
                <w:szCs w:val="20"/>
              </w:rPr>
              <w:t>3</w:t>
            </w:r>
            <w:r w:rsidR="0042052D" w:rsidRPr="001D34B5">
              <w:rPr>
                <w:rFonts w:ascii="Arial" w:hAnsi="Arial" w:cs="Arial"/>
                <w:b/>
                <w:bCs/>
                <w:sz w:val="20"/>
                <w:szCs w:val="20"/>
              </w:rPr>
              <w:fldChar w:fldCharType="end"/>
            </w:r>
          </w:sdtContent>
        </w:sdt>
      </w:sdtContent>
    </w:sdt>
  </w:p>
  <w:p w14:paraId="1B91CCE7" w14:textId="77777777" w:rsidR="0042052D" w:rsidRDefault="0042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A217" w14:textId="77777777" w:rsidR="009F444C" w:rsidRDefault="009F444C" w:rsidP="0042052D">
      <w:pPr>
        <w:spacing w:after="0" w:line="240" w:lineRule="auto"/>
      </w:pPr>
      <w:r>
        <w:separator/>
      </w:r>
    </w:p>
  </w:footnote>
  <w:footnote w:type="continuationSeparator" w:id="0">
    <w:p w14:paraId="21364527" w14:textId="77777777" w:rsidR="009F444C" w:rsidRDefault="009F444C" w:rsidP="0042052D">
      <w:pPr>
        <w:spacing w:after="0" w:line="240" w:lineRule="auto"/>
      </w:pPr>
      <w:r>
        <w:continuationSeparator/>
      </w:r>
    </w:p>
  </w:footnote>
  <w:footnote w:id="1">
    <w:p w14:paraId="7597BA28" w14:textId="5E9EE1BC" w:rsidR="00B0337D" w:rsidRPr="00544E17" w:rsidRDefault="00B0337D">
      <w:pPr>
        <w:pStyle w:val="FootnoteText"/>
        <w:rPr>
          <w:rFonts w:ascii="Arial" w:hAnsi="Arial" w:cs="Arial"/>
          <w:sz w:val="18"/>
          <w:szCs w:val="18"/>
        </w:rPr>
      </w:pPr>
      <w:r w:rsidRPr="00544E17">
        <w:rPr>
          <w:rStyle w:val="FootnoteReference"/>
          <w:rFonts w:ascii="Arial" w:hAnsi="Arial" w:cs="Arial"/>
          <w:sz w:val="18"/>
          <w:szCs w:val="18"/>
        </w:rPr>
        <w:footnoteRef/>
      </w:r>
      <w:r w:rsidRPr="00544E17">
        <w:rPr>
          <w:rFonts w:ascii="Arial" w:hAnsi="Arial" w:cs="Arial"/>
          <w:sz w:val="18"/>
          <w:szCs w:val="18"/>
        </w:rPr>
        <w:t xml:space="preserve"> </w:t>
      </w:r>
      <w:bookmarkStart w:id="4" w:name="_Hlk70510289"/>
      <w:r w:rsidR="00544E17">
        <w:rPr>
          <w:rFonts w:ascii="Arial" w:hAnsi="Arial" w:cs="Arial"/>
          <w:sz w:val="18"/>
          <w:szCs w:val="18"/>
        </w:rPr>
        <w:fldChar w:fldCharType="begin"/>
      </w:r>
      <w:r w:rsidR="00544E17">
        <w:rPr>
          <w:rFonts w:ascii="Arial" w:hAnsi="Arial" w:cs="Arial"/>
          <w:sz w:val="18"/>
          <w:szCs w:val="18"/>
        </w:rPr>
        <w:instrText xml:space="preserve"> HYPERLINK "https://www.nice.org.uk/guidance/ng12" </w:instrText>
      </w:r>
      <w:r w:rsidR="00544E17">
        <w:rPr>
          <w:rFonts w:ascii="Arial" w:hAnsi="Arial" w:cs="Arial"/>
          <w:sz w:val="18"/>
          <w:szCs w:val="18"/>
        </w:rPr>
        <w:fldChar w:fldCharType="separate"/>
      </w:r>
      <w:r w:rsidR="00544E17" w:rsidRPr="00544E17">
        <w:rPr>
          <w:rStyle w:val="Hyperlink"/>
          <w:rFonts w:ascii="Arial" w:hAnsi="Arial" w:cs="Arial"/>
          <w:sz w:val="18"/>
          <w:szCs w:val="18"/>
        </w:rPr>
        <w:t>https://www.nice.org.uk/guidance/ng12</w:t>
      </w:r>
      <w:r w:rsidR="00544E17">
        <w:rPr>
          <w:rFonts w:ascii="Arial" w:hAnsi="Arial" w:cs="Arial"/>
          <w:sz w:val="18"/>
          <w:szCs w:val="18"/>
        </w:rPr>
        <w:fldChar w:fldCharType="end"/>
      </w:r>
    </w:p>
    <w:bookmarkEnd w:id="4"/>
  </w:footnote>
  <w:footnote w:id="2">
    <w:p w14:paraId="1888ED02" w14:textId="3126F852" w:rsidR="00DD75B0" w:rsidRPr="00544E17" w:rsidRDefault="00DD75B0">
      <w:pPr>
        <w:pStyle w:val="FootnoteText"/>
        <w:rPr>
          <w:sz w:val="18"/>
          <w:szCs w:val="18"/>
        </w:rPr>
      </w:pPr>
      <w:r w:rsidRPr="00544E17">
        <w:rPr>
          <w:rStyle w:val="FootnoteReference"/>
          <w:sz w:val="18"/>
          <w:szCs w:val="18"/>
        </w:rPr>
        <w:footnoteRef/>
      </w:r>
      <w:r w:rsidRPr="00544E17">
        <w:rPr>
          <w:sz w:val="18"/>
          <w:szCs w:val="18"/>
        </w:rPr>
        <w:t xml:space="preserve"> </w:t>
      </w:r>
      <w:hyperlink r:id="rId1" w:tooltip="https://www.nice.org.uk/guidance/indevelopment/gid-dg10036" w:history="1">
        <w:r w:rsidRPr="00544E17">
          <w:rPr>
            <w:rStyle w:val="Hyperlink"/>
            <w:rFonts w:ascii="Arial" w:hAnsi="Arial" w:cs="Arial"/>
            <w:sz w:val="18"/>
            <w:szCs w:val="18"/>
          </w:rPr>
          <w:t>https://www.nice.org.uk/guidance/indevelopment/gid-dg10036</w:t>
        </w:r>
      </w:hyperlink>
    </w:p>
  </w:footnote>
  <w:footnote w:id="3">
    <w:p w14:paraId="192503BE" w14:textId="21FB188E" w:rsidR="002322B1" w:rsidRPr="00714775" w:rsidRDefault="002322B1" w:rsidP="00714775">
      <w:pPr>
        <w:pStyle w:val="FootnoteText"/>
        <w:rPr>
          <w:rFonts w:ascii="Arial" w:hAnsi="Arial" w:cs="Arial"/>
          <w:sz w:val="18"/>
          <w:szCs w:val="18"/>
        </w:rPr>
      </w:pPr>
      <w:r w:rsidRPr="00714775">
        <w:rPr>
          <w:rStyle w:val="FootnoteReference"/>
          <w:rFonts w:ascii="Arial" w:hAnsi="Arial" w:cs="Arial"/>
          <w:sz w:val="18"/>
          <w:szCs w:val="18"/>
        </w:rPr>
        <w:footnoteRef/>
      </w:r>
      <w:r w:rsidRPr="00714775">
        <w:rPr>
          <w:rFonts w:ascii="Arial" w:hAnsi="Arial" w:cs="Arial"/>
          <w:sz w:val="18"/>
          <w:szCs w:val="18"/>
        </w:rPr>
        <w:t xml:space="preserve"> </w:t>
      </w:r>
      <w:hyperlink r:id="rId2" w:history="1">
        <w:r w:rsidRPr="00714775">
          <w:rPr>
            <w:rStyle w:val="Hyperlink"/>
            <w:rFonts w:ascii="Arial" w:hAnsi="Arial" w:cs="Arial"/>
            <w:color w:val="auto"/>
            <w:sz w:val="18"/>
            <w:szCs w:val="18"/>
          </w:rPr>
          <w:t>https://www.nice.org.uk/about/what-we-do/into-practice/shared-learning-case-studies</w:t>
        </w:r>
      </w:hyperlink>
    </w:p>
  </w:footnote>
  <w:footnote w:id="4">
    <w:p w14:paraId="0C64526A" w14:textId="7D90402E" w:rsidR="00D4344D" w:rsidRPr="00714775" w:rsidRDefault="00D4344D" w:rsidP="00714775">
      <w:pPr>
        <w:spacing w:after="0" w:line="240" w:lineRule="auto"/>
        <w:rPr>
          <w:rFonts w:ascii="Arial" w:hAnsi="Arial" w:cs="Arial"/>
          <w:sz w:val="18"/>
          <w:szCs w:val="18"/>
          <w:lang w:eastAsia="en-GB"/>
        </w:rPr>
      </w:pPr>
      <w:r w:rsidRPr="00714775">
        <w:rPr>
          <w:rStyle w:val="FootnoteReference"/>
          <w:sz w:val="18"/>
          <w:szCs w:val="18"/>
        </w:rPr>
        <w:footnoteRef/>
      </w:r>
      <w:r w:rsidRPr="00714775">
        <w:rPr>
          <w:sz w:val="18"/>
          <w:szCs w:val="18"/>
        </w:rPr>
        <w:t xml:space="preserve"> </w:t>
      </w:r>
      <w:r w:rsidRPr="00714775">
        <w:rPr>
          <w:rStyle w:val="FootnoteReference"/>
          <w:sz w:val="18"/>
          <w:szCs w:val="18"/>
        </w:rPr>
        <w:footnoteRef/>
      </w:r>
      <w:r w:rsidRPr="00714775">
        <w:rPr>
          <w:sz w:val="18"/>
          <w:szCs w:val="18"/>
        </w:rPr>
        <w:t xml:space="preserve"> </w:t>
      </w:r>
      <w:hyperlink r:id="rId3" w:history="1">
        <w:r w:rsidRPr="00714775">
          <w:rPr>
            <w:rStyle w:val="Hyperlink"/>
            <w:rFonts w:ascii="Arial" w:hAnsi="Arial" w:cs="Arial"/>
            <w:color w:val="auto"/>
            <w:sz w:val="18"/>
            <w:szCs w:val="18"/>
          </w:rPr>
          <w:t>https://bmcanesthesiol.biomedcentral.com/articles/10.1186/s12871-019-0880-x</w:t>
        </w:r>
      </w:hyperlink>
    </w:p>
  </w:footnote>
  <w:footnote w:id="5">
    <w:p w14:paraId="7C9CDEFD" w14:textId="5727BE9D" w:rsidR="0035710A" w:rsidRPr="0035710A" w:rsidRDefault="0035710A">
      <w:pPr>
        <w:pStyle w:val="FootnoteText"/>
        <w:rPr>
          <w:rFonts w:ascii="Arial" w:hAnsi="Arial" w:cs="Arial"/>
          <w:sz w:val="18"/>
          <w:szCs w:val="18"/>
        </w:rPr>
      </w:pPr>
      <w:r w:rsidRPr="0035710A">
        <w:rPr>
          <w:rStyle w:val="FootnoteReference"/>
          <w:rFonts w:ascii="Arial" w:hAnsi="Arial" w:cs="Arial"/>
          <w:sz w:val="18"/>
          <w:szCs w:val="18"/>
        </w:rPr>
        <w:footnoteRef/>
      </w:r>
      <w:r w:rsidRPr="0035710A">
        <w:rPr>
          <w:rFonts w:ascii="Arial" w:hAnsi="Arial" w:cs="Arial"/>
          <w:sz w:val="18"/>
          <w:szCs w:val="18"/>
        </w:rPr>
        <w:t xml:space="preserve"> </w:t>
      </w:r>
      <w:hyperlink r:id="rId4" w:history="1">
        <w:r w:rsidRPr="0035710A">
          <w:rPr>
            <w:rStyle w:val="Hyperlink"/>
            <w:rFonts w:ascii="Arial" w:hAnsi="Arial" w:cs="Arial"/>
            <w:sz w:val="18"/>
            <w:szCs w:val="18"/>
          </w:rPr>
          <w:t>https://academic.oup.com/bjs/article/107/5/595/609363</w:t>
        </w:r>
      </w:hyperlink>
    </w:p>
  </w:footnote>
  <w:footnote w:id="6">
    <w:p w14:paraId="694A2847" w14:textId="4BB393EC" w:rsidR="00412A15" w:rsidRDefault="00412A15" w:rsidP="00714775">
      <w:pPr>
        <w:pStyle w:val="FootnoteText"/>
        <w:rPr>
          <w:rFonts w:ascii="Arial" w:hAnsi="Arial" w:cs="Arial"/>
          <w:sz w:val="18"/>
          <w:szCs w:val="18"/>
        </w:rPr>
      </w:pPr>
      <w:r w:rsidRPr="00714775">
        <w:rPr>
          <w:rStyle w:val="FootnoteReference"/>
          <w:rFonts w:ascii="Arial" w:hAnsi="Arial" w:cs="Arial"/>
          <w:sz w:val="18"/>
          <w:szCs w:val="18"/>
        </w:rPr>
        <w:footnoteRef/>
      </w:r>
      <w:r w:rsidRPr="00714775">
        <w:rPr>
          <w:rFonts w:ascii="Arial" w:hAnsi="Arial" w:cs="Arial"/>
          <w:sz w:val="18"/>
          <w:szCs w:val="18"/>
        </w:rPr>
        <w:t xml:space="preserve"> </w:t>
      </w:r>
      <w:hyperlink r:id="rId5" w:history="1">
        <w:r w:rsidR="00714775" w:rsidRPr="004A3867">
          <w:rPr>
            <w:rStyle w:val="Hyperlink"/>
            <w:rFonts w:ascii="Arial" w:hAnsi="Arial" w:cs="Arial"/>
            <w:sz w:val="18"/>
            <w:szCs w:val="18"/>
          </w:rPr>
          <w:t>https://www.gov.uk/government/publications/nhs-population-screening-a-health-equity-audit-guide/health-equity-audit-guide-for-screening-providers-and-commissioners</w:t>
        </w:r>
      </w:hyperlink>
    </w:p>
    <w:p w14:paraId="58549318" w14:textId="77777777" w:rsidR="00714775" w:rsidRPr="00412A15" w:rsidRDefault="00714775" w:rsidP="00714775">
      <w:pPr>
        <w:pStyle w:val="FootnoteText"/>
        <w:rPr>
          <w:rFonts w:ascii="Arial" w:hAnsi="Arial" w:cs="Arial"/>
          <w:sz w:val="16"/>
          <w:szCs w:val="16"/>
        </w:rPr>
      </w:pPr>
    </w:p>
  </w:footnote>
  <w:footnote w:id="7">
    <w:p w14:paraId="01818F5E" w14:textId="77777777" w:rsidR="00711B15" w:rsidRDefault="00711B15" w:rsidP="00711B15">
      <w:pPr>
        <w:pStyle w:val="FootnoteText"/>
      </w:pPr>
      <w:r>
        <w:rPr>
          <w:rStyle w:val="FootnoteReference"/>
        </w:rPr>
        <w:footnoteRef/>
      </w:r>
      <w:r w:rsidRPr="00070EC8">
        <w:rPr>
          <w:sz w:val="16"/>
          <w:szCs w:val="12"/>
        </w:rPr>
        <w:t xml:space="preserve"> </w:t>
      </w:r>
      <w:hyperlink r:id="rId6" w:tgtFrame="_blank" w:tooltip="https://www.nice.org.uk/guidance/ng159/resources/clinical-frailty-scale-pdf-8712262765" w:history="1">
        <w:r w:rsidRPr="00070EC8">
          <w:rPr>
            <w:rStyle w:val="Hyperlink"/>
            <w:rFonts w:ascii="Arial" w:hAnsi="Arial" w:cs="Arial"/>
            <w:color w:val="auto"/>
            <w:sz w:val="16"/>
            <w:szCs w:val="12"/>
          </w:rPr>
          <w:t>https://www.nice.org.uk/guidance/ng159/resources/clinical-frailty-scale-pdf-8712262765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884C" w14:textId="24206595" w:rsidR="00055D3E" w:rsidRDefault="00AC3B43">
    <w:pPr>
      <w:pStyle w:val="Header"/>
    </w:pPr>
    <w:r>
      <w:rPr>
        <w:noProof/>
      </w:rPr>
      <w:pict w14:anchorId="60D9F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472860" o:spid="_x0000_s8197"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3549" w14:textId="5E0B1C71" w:rsidR="00055D3E" w:rsidRPr="00055D3E" w:rsidRDefault="00AC3B43">
    <w:pPr>
      <w:pStyle w:val="Header"/>
      <w:rPr>
        <w:b/>
        <w:bCs/>
        <w:sz w:val="32"/>
        <w:szCs w:val="32"/>
        <w:lang w:val="en-GB"/>
      </w:rPr>
    </w:pPr>
    <w:r>
      <w:rPr>
        <w:b/>
        <w:bCs/>
        <w:noProof/>
        <w:sz w:val="32"/>
        <w:szCs w:val="32"/>
      </w:rPr>
      <w:pict w14:anchorId="18E8A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472861" o:spid="_x0000_s8198"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r w:rsidR="00055D3E" w:rsidRPr="00055D3E">
      <w:rPr>
        <w:b/>
        <w:bCs/>
        <w:sz w:val="32"/>
        <w:szCs w:val="32"/>
        <w:lang w:val="en-GB"/>
      </w:rPr>
      <w:t>DRAFT COPY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C424" w14:textId="550109C1" w:rsidR="00055D3E" w:rsidRDefault="00AC3B43">
    <w:pPr>
      <w:pStyle w:val="Header"/>
    </w:pPr>
    <w:r>
      <w:rPr>
        <w:noProof/>
      </w:rPr>
      <w:pict w14:anchorId="5ECF6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472859" o:spid="_x0000_s8196"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46"/>
    <w:multiLevelType w:val="multilevel"/>
    <w:tmpl w:val="554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C1A73"/>
    <w:multiLevelType w:val="hybridMultilevel"/>
    <w:tmpl w:val="402C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4B8C"/>
    <w:multiLevelType w:val="hybridMultilevel"/>
    <w:tmpl w:val="F014F6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AEF2C21"/>
    <w:multiLevelType w:val="hybridMultilevel"/>
    <w:tmpl w:val="346E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A34357"/>
    <w:multiLevelType w:val="hybridMultilevel"/>
    <w:tmpl w:val="27E6E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F38EE"/>
    <w:multiLevelType w:val="hybridMultilevel"/>
    <w:tmpl w:val="2D547C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57E00F1"/>
    <w:multiLevelType w:val="hybridMultilevel"/>
    <w:tmpl w:val="9DC2CB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659C5"/>
    <w:multiLevelType w:val="multilevel"/>
    <w:tmpl w:val="7F36BA72"/>
    <w:lvl w:ilvl="0">
      <w:start w:val="1"/>
      <w:numFmt w:val="decimal"/>
      <w:lvlText w:val="%1.0"/>
      <w:lvlJc w:val="left"/>
      <w:pPr>
        <w:ind w:left="720" w:hanging="720"/>
      </w:pPr>
      <w:rPr>
        <w:rFonts w:hint="default"/>
      </w:rPr>
    </w:lvl>
    <w:lvl w:ilvl="1">
      <w:start w:val="1"/>
      <w:numFmt w:val="decimal"/>
      <w:lvlText w:val="%1.%2"/>
      <w:lvlJc w:val="left"/>
      <w:pPr>
        <w:ind w:left="737" w:hanging="737"/>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E25999"/>
    <w:multiLevelType w:val="hybridMultilevel"/>
    <w:tmpl w:val="F14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F4C1F"/>
    <w:multiLevelType w:val="hybridMultilevel"/>
    <w:tmpl w:val="2C38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F6BC1"/>
    <w:multiLevelType w:val="hybridMultilevel"/>
    <w:tmpl w:val="34AAB272"/>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45C0B1C"/>
    <w:multiLevelType w:val="hybridMultilevel"/>
    <w:tmpl w:val="AE0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12A7B"/>
    <w:multiLevelType w:val="hybridMultilevel"/>
    <w:tmpl w:val="E662BC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5E442AAA"/>
    <w:multiLevelType w:val="hybridMultilevel"/>
    <w:tmpl w:val="CCF6997C"/>
    <w:lvl w:ilvl="0" w:tplc="08090001">
      <w:start w:val="1"/>
      <w:numFmt w:val="bullet"/>
      <w:lvlText w:val=""/>
      <w:lvlJc w:val="left"/>
      <w:pPr>
        <w:ind w:left="578" w:hanging="360"/>
      </w:pPr>
      <w:rPr>
        <w:rFonts w:ascii="Symbol" w:hAnsi="Symbol"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60F13B91"/>
    <w:multiLevelType w:val="hybridMultilevel"/>
    <w:tmpl w:val="4BCA1AA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64E57BE0"/>
    <w:multiLevelType w:val="hybridMultilevel"/>
    <w:tmpl w:val="3CE8172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116339"/>
    <w:multiLevelType w:val="multilevel"/>
    <w:tmpl w:val="94E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A1961"/>
    <w:multiLevelType w:val="hybridMultilevel"/>
    <w:tmpl w:val="C65C561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7"/>
  </w:num>
  <w:num w:numId="5">
    <w:abstractNumId w:val="10"/>
  </w:num>
  <w:num w:numId="6">
    <w:abstractNumId w:val="14"/>
  </w:num>
  <w:num w:numId="7">
    <w:abstractNumId w:val="0"/>
  </w:num>
  <w:num w:numId="8">
    <w:abstractNumId w:val="9"/>
  </w:num>
  <w:num w:numId="9">
    <w:abstractNumId w:val="11"/>
  </w:num>
  <w:num w:numId="10">
    <w:abstractNumId w:val="3"/>
  </w:num>
  <w:num w:numId="11">
    <w:abstractNumId w:val="4"/>
  </w:num>
  <w:num w:numId="12">
    <w:abstractNumId w:val="13"/>
  </w:num>
  <w:num w:numId="13">
    <w:abstractNumId w:val="12"/>
  </w:num>
  <w:num w:numId="14">
    <w:abstractNumId w:val="8"/>
  </w:num>
  <w:num w:numId="15">
    <w:abstractNumId w:val="6"/>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4C"/>
    <w:rsid w:val="000031F4"/>
    <w:rsid w:val="00012E0B"/>
    <w:rsid w:val="00013EF0"/>
    <w:rsid w:val="00046B43"/>
    <w:rsid w:val="00055D3E"/>
    <w:rsid w:val="00067748"/>
    <w:rsid w:val="00067D75"/>
    <w:rsid w:val="00070EC8"/>
    <w:rsid w:val="000F6B73"/>
    <w:rsid w:val="00106639"/>
    <w:rsid w:val="00132A8C"/>
    <w:rsid w:val="00137C2C"/>
    <w:rsid w:val="00140787"/>
    <w:rsid w:val="00171B01"/>
    <w:rsid w:val="001C6136"/>
    <w:rsid w:val="001D1475"/>
    <w:rsid w:val="001D34B5"/>
    <w:rsid w:val="001E35CE"/>
    <w:rsid w:val="002322B1"/>
    <w:rsid w:val="0023537A"/>
    <w:rsid w:val="002414B3"/>
    <w:rsid w:val="002635C8"/>
    <w:rsid w:val="00272237"/>
    <w:rsid w:val="002B5794"/>
    <w:rsid w:val="002F0645"/>
    <w:rsid w:val="00317F57"/>
    <w:rsid w:val="003446AC"/>
    <w:rsid w:val="00345760"/>
    <w:rsid w:val="0035710A"/>
    <w:rsid w:val="003773F7"/>
    <w:rsid w:val="00396351"/>
    <w:rsid w:val="00397F0E"/>
    <w:rsid w:val="003A743B"/>
    <w:rsid w:val="00412A15"/>
    <w:rsid w:val="0042052D"/>
    <w:rsid w:val="00423BD7"/>
    <w:rsid w:val="00447EA0"/>
    <w:rsid w:val="004831B6"/>
    <w:rsid w:val="0048773D"/>
    <w:rsid w:val="0049536C"/>
    <w:rsid w:val="00503657"/>
    <w:rsid w:val="00544E17"/>
    <w:rsid w:val="0055691A"/>
    <w:rsid w:val="00561F61"/>
    <w:rsid w:val="0056660F"/>
    <w:rsid w:val="00593790"/>
    <w:rsid w:val="0059419E"/>
    <w:rsid w:val="005B6160"/>
    <w:rsid w:val="005F5576"/>
    <w:rsid w:val="00617157"/>
    <w:rsid w:val="00622F1B"/>
    <w:rsid w:val="006263AC"/>
    <w:rsid w:val="00696663"/>
    <w:rsid w:val="006E11DF"/>
    <w:rsid w:val="006E53C5"/>
    <w:rsid w:val="00706A91"/>
    <w:rsid w:val="0071135A"/>
    <w:rsid w:val="00711B15"/>
    <w:rsid w:val="00714775"/>
    <w:rsid w:val="00741220"/>
    <w:rsid w:val="007C2E23"/>
    <w:rsid w:val="008103D9"/>
    <w:rsid w:val="00830E4C"/>
    <w:rsid w:val="00837C60"/>
    <w:rsid w:val="00841675"/>
    <w:rsid w:val="00850B7A"/>
    <w:rsid w:val="008717AC"/>
    <w:rsid w:val="008B4BCA"/>
    <w:rsid w:val="008C1935"/>
    <w:rsid w:val="008E31C9"/>
    <w:rsid w:val="009134CC"/>
    <w:rsid w:val="0094404D"/>
    <w:rsid w:val="00954435"/>
    <w:rsid w:val="00982640"/>
    <w:rsid w:val="009D464F"/>
    <w:rsid w:val="009F444C"/>
    <w:rsid w:val="00A46F3C"/>
    <w:rsid w:val="00A972F5"/>
    <w:rsid w:val="00AA7216"/>
    <w:rsid w:val="00AB28CD"/>
    <w:rsid w:val="00AC3B43"/>
    <w:rsid w:val="00AD1451"/>
    <w:rsid w:val="00AD3EA0"/>
    <w:rsid w:val="00B0337D"/>
    <w:rsid w:val="00B31895"/>
    <w:rsid w:val="00B33156"/>
    <w:rsid w:val="00B4487D"/>
    <w:rsid w:val="00B574DF"/>
    <w:rsid w:val="00BA27D0"/>
    <w:rsid w:val="00BE5D31"/>
    <w:rsid w:val="00C2777C"/>
    <w:rsid w:val="00C46373"/>
    <w:rsid w:val="00CB6E32"/>
    <w:rsid w:val="00D1646F"/>
    <w:rsid w:val="00D4344D"/>
    <w:rsid w:val="00D705F9"/>
    <w:rsid w:val="00D827E4"/>
    <w:rsid w:val="00DB4ADA"/>
    <w:rsid w:val="00DC30C0"/>
    <w:rsid w:val="00DD30F2"/>
    <w:rsid w:val="00DD75B0"/>
    <w:rsid w:val="00E154D4"/>
    <w:rsid w:val="00E23B1A"/>
    <w:rsid w:val="00E477B2"/>
    <w:rsid w:val="00E718DE"/>
    <w:rsid w:val="00E84CF8"/>
    <w:rsid w:val="00E92B08"/>
    <w:rsid w:val="00EC094E"/>
    <w:rsid w:val="00EC3680"/>
    <w:rsid w:val="00ED1C8B"/>
    <w:rsid w:val="00EE2838"/>
    <w:rsid w:val="00EF184F"/>
    <w:rsid w:val="00EF236E"/>
    <w:rsid w:val="00F224AD"/>
    <w:rsid w:val="00F8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4A1FD878"/>
  <w15:docId w15:val="{D13BF1F7-3909-4FE1-9E9D-ADFB8011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3F7"/>
    <w:pPr>
      <w:widowControl w:val="0"/>
    </w:pPr>
    <w:rPr>
      <w:lang w:val="en-US"/>
    </w:rPr>
  </w:style>
  <w:style w:type="paragraph" w:styleId="Heading1">
    <w:name w:val="heading 1"/>
    <w:basedOn w:val="Normal"/>
    <w:next w:val="Normal"/>
    <w:link w:val="Heading1Char"/>
    <w:uiPriority w:val="9"/>
    <w:qFormat/>
    <w:rsid w:val="009826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26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C0"/>
    <w:rPr>
      <w:rFonts w:ascii="Tahoma" w:hAnsi="Tahoma" w:cs="Tahoma"/>
      <w:sz w:val="16"/>
      <w:szCs w:val="16"/>
      <w:lang w:val="en-US"/>
    </w:rPr>
  </w:style>
  <w:style w:type="paragraph" w:customStyle="1" w:styleId="Default">
    <w:name w:val="Default"/>
    <w:rsid w:val="00B3189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B31895"/>
    <w:rPr>
      <w:color w:val="0000FF" w:themeColor="hyperlink"/>
      <w:u w:val="single"/>
    </w:rPr>
  </w:style>
  <w:style w:type="character" w:styleId="FollowedHyperlink">
    <w:name w:val="FollowedHyperlink"/>
    <w:basedOn w:val="DefaultParagraphFont"/>
    <w:uiPriority w:val="99"/>
    <w:semiHidden/>
    <w:unhideWhenUsed/>
    <w:rsid w:val="00EC094E"/>
    <w:rPr>
      <w:color w:val="800080" w:themeColor="followedHyperlink"/>
      <w:u w:val="single"/>
    </w:rPr>
  </w:style>
  <w:style w:type="paragraph" w:styleId="Header">
    <w:name w:val="header"/>
    <w:basedOn w:val="Normal"/>
    <w:link w:val="HeaderChar"/>
    <w:uiPriority w:val="99"/>
    <w:unhideWhenUsed/>
    <w:rsid w:val="00EC094E"/>
    <w:pPr>
      <w:widowControl/>
      <w:tabs>
        <w:tab w:val="center" w:pos="4513"/>
        <w:tab w:val="right" w:pos="9026"/>
      </w:tabs>
      <w:spacing w:after="0" w:line="240" w:lineRule="auto"/>
    </w:pPr>
    <w:rPr>
      <w:rFonts w:ascii="Arial" w:eastAsia="Calibri" w:hAnsi="Arial" w:cs="Times New Roman"/>
      <w:sz w:val="24"/>
      <w:szCs w:val="20"/>
      <w:lang w:val="x-none" w:eastAsia="x-none"/>
    </w:rPr>
  </w:style>
  <w:style w:type="character" w:customStyle="1" w:styleId="HeaderChar">
    <w:name w:val="Header Char"/>
    <w:basedOn w:val="DefaultParagraphFont"/>
    <w:link w:val="Header"/>
    <w:uiPriority w:val="99"/>
    <w:rsid w:val="00EC094E"/>
    <w:rPr>
      <w:rFonts w:ascii="Arial" w:eastAsia="Calibri" w:hAnsi="Arial" w:cs="Times New Roman"/>
      <w:sz w:val="24"/>
      <w:szCs w:val="20"/>
      <w:lang w:val="x-none" w:eastAsia="x-none"/>
    </w:rPr>
  </w:style>
  <w:style w:type="paragraph" w:styleId="Footer">
    <w:name w:val="footer"/>
    <w:basedOn w:val="Normal"/>
    <w:link w:val="FooterChar"/>
    <w:uiPriority w:val="99"/>
    <w:unhideWhenUsed/>
    <w:rsid w:val="0042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2D"/>
    <w:rPr>
      <w:lang w:val="en-US"/>
    </w:rPr>
  </w:style>
  <w:style w:type="paragraph" w:styleId="ListParagraph">
    <w:name w:val="List Paragraph"/>
    <w:basedOn w:val="Normal"/>
    <w:uiPriority w:val="34"/>
    <w:qFormat/>
    <w:rsid w:val="00BE5D31"/>
    <w:pPr>
      <w:widowControl/>
      <w:spacing w:after="0" w:line="240" w:lineRule="auto"/>
      <w:ind w:left="720"/>
      <w:contextualSpacing/>
    </w:pPr>
    <w:rPr>
      <w:rFonts w:ascii="Helvetica Neue" w:eastAsiaTheme="minorEastAsia" w:hAnsi="Helvetica Neue"/>
      <w:sz w:val="24"/>
      <w:szCs w:val="24"/>
    </w:rPr>
  </w:style>
  <w:style w:type="character" w:customStyle="1" w:styleId="Heading1Char">
    <w:name w:val="Heading 1 Char"/>
    <w:basedOn w:val="DefaultParagraphFont"/>
    <w:link w:val="Heading1"/>
    <w:uiPriority w:val="9"/>
    <w:rsid w:val="0098264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82640"/>
    <w:rPr>
      <w:rFonts w:asciiTheme="majorHAnsi" w:eastAsiaTheme="majorEastAsia" w:hAnsiTheme="majorHAnsi" w:cstheme="majorBidi"/>
      <w:color w:val="365F91" w:themeColor="accent1" w:themeShade="BF"/>
      <w:sz w:val="26"/>
      <w:szCs w:val="26"/>
      <w:lang w:val="en-US"/>
    </w:rPr>
  </w:style>
  <w:style w:type="paragraph" w:styleId="FootnoteText">
    <w:name w:val="footnote text"/>
    <w:basedOn w:val="Normal"/>
    <w:link w:val="FootnoteTextChar"/>
    <w:semiHidden/>
    <w:rsid w:val="00012E0B"/>
    <w:pPr>
      <w:spacing w:after="0" w:line="240" w:lineRule="auto"/>
    </w:pPr>
    <w:rPr>
      <w:rFonts w:ascii="Courier New" w:eastAsia="Times New Roman" w:hAnsi="Courier New" w:cs="Times New Roman"/>
      <w:snapToGrid w:val="0"/>
      <w:sz w:val="24"/>
      <w:szCs w:val="20"/>
      <w:lang w:val="en-GB"/>
    </w:rPr>
  </w:style>
  <w:style w:type="character" w:customStyle="1" w:styleId="FootnoteTextChar">
    <w:name w:val="Footnote Text Char"/>
    <w:basedOn w:val="DefaultParagraphFont"/>
    <w:link w:val="FootnoteText"/>
    <w:semiHidden/>
    <w:rsid w:val="00012E0B"/>
    <w:rPr>
      <w:rFonts w:ascii="Courier New" w:eastAsia="Times New Roman" w:hAnsi="Courier New" w:cs="Times New Roman"/>
      <w:snapToGrid w:val="0"/>
      <w:sz w:val="24"/>
      <w:szCs w:val="20"/>
    </w:rPr>
  </w:style>
  <w:style w:type="character" w:styleId="FootnoteReference">
    <w:name w:val="footnote reference"/>
    <w:semiHidden/>
    <w:rsid w:val="00012E0B"/>
    <w:rPr>
      <w:vertAlign w:val="superscript"/>
    </w:rPr>
  </w:style>
  <w:style w:type="character" w:styleId="CommentReference">
    <w:name w:val="annotation reference"/>
    <w:basedOn w:val="DefaultParagraphFont"/>
    <w:uiPriority w:val="99"/>
    <w:semiHidden/>
    <w:unhideWhenUsed/>
    <w:rsid w:val="00012E0B"/>
    <w:rPr>
      <w:sz w:val="16"/>
      <w:szCs w:val="16"/>
    </w:rPr>
  </w:style>
  <w:style w:type="paragraph" w:styleId="CommentText">
    <w:name w:val="annotation text"/>
    <w:basedOn w:val="Normal"/>
    <w:link w:val="CommentTextChar"/>
    <w:uiPriority w:val="99"/>
    <w:semiHidden/>
    <w:unhideWhenUsed/>
    <w:rsid w:val="00012E0B"/>
    <w:pPr>
      <w:spacing w:after="0" w:line="240" w:lineRule="auto"/>
    </w:pPr>
    <w:rPr>
      <w:rFonts w:ascii="Courier New" w:eastAsia="Times New Roman" w:hAnsi="Courier New" w:cs="Times New Roman"/>
      <w:snapToGrid w:val="0"/>
      <w:sz w:val="20"/>
      <w:szCs w:val="20"/>
      <w:lang w:val="en-GB"/>
    </w:rPr>
  </w:style>
  <w:style w:type="character" w:customStyle="1" w:styleId="CommentTextChar">
    <w:name w:val="Comment Text Char"/>
    <w:basedOn w:val="DefaultParagraphFont"/>
    <w:link w:val="CommentText"/>
    <w:uiPriority w:val="99"/>
    <w:semiHidden/>
    <w:rsid w:val="00012E0B"/>
    <w:rPr>
      <w:rFonts w:ascii="Courier New" w:eastAsia="Times New Roman" w:hAnsi="Courier New" w:cs="Times New Roman"/>
      <w:snapToGrid w:val="0"/>
      <w:sz w:val="20"/>
      <w:szCs w:val="20"/>
    </w:rPr>
  </w:style>
  <w:style w:type="character" w:customStyle="1" w:styleId="c-13">
    <w:name w:val="c-13"/>
    <w:basedOn w:val="DefaultParagraphFont"/>
    <w:rsid w:val="00012E0B"/>
  </w:style>
  <w:style w:type="paragraph" w:styleId="NormalWeb">
    <w:name w:val="Normal (Web)"/>
    <w:basedOn w:val="Normal"/>
    <w:uiPriority w:val="99"/>
    <w:semiHidden/>
    <w:unhideWhenUsed/>
    <w:rsid w:val="00DD30F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4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8788">
      <w:bodyDiv w:val="1"/>
      <w:marLeft w:val="0"/>
      <w:marRight w:val="0"/>
      <w:marTop w:val="0"/>
      <w:marBottom w:val="0"/>
      <w:divBdr>
        <w:top w:val="none" w:sz="0" w:space="0" w:color="auto"/>
        <w:left w:val="none" w:sz="0" w:space="0" w:color="auto"/>
        <w:bottom w:val="none" w:sz="0" w:space="0" w:color="auto"/>
        <w:right w:val="none" w:sz="0" w:space="0" w:color="auto"/>
      </w:divBdr>
    </w:div>
    <w:div w:id="774398885">
      <w:bodyDiv w:val="1"/>
      <w:marLeft w:val="0"/>
      <w:marRight w:val="0"/>
      <w:marTop w:val="0"/>
      <w:marBottom w:val="0"/>
      <w:divBdr>
        <w:top w:val="none" w:sz="0" w:space="0" w:color="auto"/>
        <w:left w:val="none" w:sz="0" w:space="0" w:color="auto"/>
        <w:bottom w:val="none" w:sz="0" w:space="0" w:color="auto"/>
        <w:right w:val="none" w:sz="0" w:space="0" w:color="auto"/>
      </w:divBdr>
    </w:div>
    <w:div w:id="796803189">
      <w:bodyDiv w:val="1"/>
      <w:marLeft w:val="0"/>
      <w:marRight w:val="0"/>
      <w:marTop w:val="0"/>
      <w:marBottom w:val="0"/>
      <w:divBdr>
        <w:top w:val="none" w:sz="0" w:space="0" w:color="auto"/>
        <w:left w:val="none" w:sz="0" w:space="0" w:color="auto"/>
        <w:bottom w:val="none" w:sz="0" w:space="0" w:color="auto"/>
        <w:right w:val="none" w:sz="0" w:space="0" w:color="auto"/>
      </w:divBdr>
      <w:divsChild>
        <w:div w:id="1825855959">
          <w:marLeft w:val="0"/>
          <w:marRight w:val="0"/>
          <w:marTop w:val="0"/>
          <w:marBottom w:val="0"/>
          <w:divBdr>
            <w:top w:val="none" w:sz="0" w:space="0" w:color="auto"/>
            <w:left w:val="none" w:sz="0" w:space="0" w:color="auto"/>
            <w:bottom w:val="none" w:sz="0" w:space="0" w:color="auto"/>
            <w:right w:val="none" w:sz="0" w:space="0" w:color="auto"/>
          </w:divBdr>
          <w:divsChild>
            <w:div w:id="475538911">
              <w:marLeft w:val="0"/>
              <w:marRight w:val="0"/>
              <w:marTop w:val="0"/>
              <w:marBottom w:val="0"/>
              <w:divBdr>
                <w:top w:val="none" w:sz="0" w:space="0" w:color="auto"/>
                <w:left w:val="none" w:sz="0" w:space="0" w:color="auto"/>
                <w:bottom w:val="none" w:sz="0" w:space="0" w:color="auto"/>
                <w:right w:val="none" w:sz="0" w:space="0" w:color="auto"/>
              </w:divBdr>
              <w:divsChild>
                <w:div w:id="1796290004">
                  <w:marLeft w:val="0"/>
                  <w:marRight w:val="0"/>
                  <w:marTop w:val="0"/>
                  <w:marBottom w:val="0"/>
                  <w:divBdr>
                    <w:top w:val="none" w:sz="0" w:space="0" w:color="auto"/>
                    <w:left w:val="none" w:sz="0" w:space="0" w:color="auto"/>
                    <w:bottom w:val="none" w:sz="0" w:space="0" w:color="auto"/>
                    <w:right w:val="none" w:sz="0" w:space="0" w:color="auto"/>
                  </w:divBdr>
                  <w:divsChild>
                    <w:div w:id="904150113">
                      <w:marLeft w:val="-120"/>
                      <w:marRight w:val="-120"/>
                      <w:marTop w:val="0"/>
                      <w:marBottom w:val="0"/>
                      <w:divBdr>
                        <w:top w:val="none" w:sz="0" w:space="0" w:color="auto"/>
                        <w:left w:val="none" w:sz="0" w:space="0" w:color="auto"/>
                        <w:bottom w:val="none" w:sz="0" w:space="0" w:color="auto"/>
                        <w:right w:val="none" w:sz="0" w:space="0" w:color="auto"/>
                      </w:divBdr>
                      <w:divsChild>
                        <w:div w:id="1942301010">
                          <w:marLeft w:val="0"/>
                          <w:marRight w:val="0"/>
                          <w:marTop w:val="0"/>
                          <w:marBottom w:val="0"/>
                          <w:divBdr>
                            <w:top w:val="none" w:sz="0" w:space="0" w:color="auto"/>
                            <w:left w:val="none" w:sz="0" w:space="0" w:color="auto"/>
                            <w:bottom w:val="none" w:sz="0" w:space="0" w:color="auto"/>
                            <w:right w:val="none" w:sz="0" w:space="0" w:color="auto"/>
                          </w:divBdr>
                          <w:divsChild>
                            <w:div w:id="1365784690">
                              <w:marLeft w:val="0"/>
                              <w:marRight w:val="0"/>
                              <w:marTop w:val="240"/>
                              <w:marBottom w:val="480"/>
                              <w:divBdr>
                                <w:top w:val="single" w:sz="6" w:space="12" w:color="D6D6D6"/>
                                <w:left w:val="single" w:sz="6" w:space="12" w:color="D6D6D6"/>
                                <w:bottom w:val="single" w:sz="6" w:space="12" w:color="D6D6D6"/>
                                <w:right w:val="single" w:sz="6" w:space="12" w:color="D6D6D6"/>
                              </w:divBdr>
                            </w:div>
                          </w:divsChild>
                        </w:div>
                      </w:divsChild>
                    </w:div>
                  </w:divsChild>
                </w:div>
              </w:divsChild>
            </w:div>
          </w:divsChild>
        </w:div>
      </w:divsChild>
    </w:div>
    <w:div w:id="1484812065">
      <w:bodyDiv w:val="1"/>
      <w:marLeft w:val="0"/>
      <w:marRight w:val="0"/>
      <w:marTop w:val="0"/>
      <w:marBottom w:val="0"/>
      <w:divBdr>
        <w:top w:val="none" w:sz="0" w:space="0" w:color="auto"/>
        <w:left w:val="none" w:sz="0" w:space="0" w:color="auto"/>
        <w:bottom w:val="none" w:sz="0" w:space="0" w:color="auto"/>
        <w:right w:val="none" w:sz="0" w:space="0" w:color="auto"/>
      </w:divBdr>
    </w:div>
    <w:div w:id="1637105614">
      <w:bodyDiv w:val="1"/>
      <w:marLeft w:val="0"/>
      <w:marRight w:val="0"/>
      <w:marTop w:val="0"/>
      <w:marBottom w:val="0"/>
      <w:divBdr>
        <w:top w:val="none" w:sz="0" w:space="0" w:color="auto"/>
        <w:left w:val="none" w:sz="0" w:space="0" w:color="auto"/>
        <w:bottom w:val="none" w:sz="0" w:space="0" w:color="auto"/>
        <w:right w:val="none" w:sz="0" w:space="0" w:color="auto"/>
      </w:divBdr>
    </w:div>
    <w:div w:id="17643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mcanesthesiol.biomedcentral.com/articles/10.1186/s12871-019-0880-x" TargetMode="External"/><Relationship Id="rId2" Type="http://schemas.openxmlformats.org/officeDocument/2006/relationships/hyperlink" Target="https://www.nice.org.uk/about/what-we-do/into-practice/shared-learning-case-studies" TargetMode="External"/><Relationship Id="rId1" Type="http://schemas.openxmlformats.org/officeDocument/2006/relationships/hyperlink" Target="https://www.nice.org.uk/guidance/indevelopment/gid-dg10036" TargetMode="External"/><Relationship Id="rId6" Type="http://schemas.openxmlformats.org/officeDocument/2006/relationships/hyperlink" Target="https://www.nice.org.uk/guidance/ng159/resources/clinical-frailty-scale-pdf-8712262765" TargetMode="External"/><Relationship Id="rId5" Type="http://schemas.openxmlformats.org/officeDocument/2006/relationships/hyperlink" Target="https://www.gov.uk/government/publications/nhs-population-screening-a-health-equity-audit-guide/health-equity-audit-guide-for-screening-providers-and-commissioners" TargetMode="External"/><Relationship Id="rId4" Type="http://schemas.openxmlformats.org/officeDocument/2006/relationships/hyperlink" Target="https://academic.oup.com/bjs/article/107/5/595/6093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outhPlaza\Medical%20Directorate\Strategic%20Clinical%20Networks\Senate\Admin\Templates\Advic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BE0D-0A38-42EF-8B54-A1DF69FD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letter.dotx</Template>
  <TotalTime>4</TotalTime>
  <Pages>4</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Redka</dc:creator>
  <cp:lastModifiedBy>trim, patricia</cp:lastModifiedBy>
  <cp:revision>2</cp:revision>
  <dcterms:created xsi:type="dcterms:W3CDTF">2021-04-28T16:04:00Z</dcterms:created>
  <dcterms:modified xsi:type="dcterms:W3CDTF">2021-04-28T16:04:00Z</dcterms:modified>
</cp:coreProperties>
</file>