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577D" w14:textId="77777777" w:rsidR="008A5BA7" w:rsidRPr="00E254D0" w:rsidRDefault="008A5BA7" w:rsidP="008A5BA7">
      <w:pPr>
        <w:spacing w:line="300" w:lineRule="auto"/>
        <w:ind w:left="-142" w:right="43"/>
        <w:jc w:val="right"/>
        <w:rPr>
          <w:rFonts w:asciiTheme="majorHAnsi" w:hAnsiTheme="majorHAnsi"/>
        </w:rPr>
      </w:pPr>
      <w:r w:rsidRPr="00E254D0">
        <w:rPr>
          <w:rFonts w:ascii="Arial" w:hAnsi="Arial" w:cs="Arial"/>
          <w:b/>
          <w:noProof/>
          <w:szCs w:val="20"/>
          <w:lang w:eastAsia="en-GB"/>
        </w:rPr>
        <w:drawing>
          <wp:inline distT="0" distB="0" distL="0" distR="0" wp14:anchorId="3CC5F4F8" wp14:editId="7913483E">
            <wp:extent cx="2644775" cy="901700"/>
            <wp:effectExtent l="0" t="0" r="3175" b="0"/>
            <wp:docPr id="3"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linic&#10;&#10;AI-generated content may be incorrect."/>
                    <pic:cNvPicPr/>
                  </pic:nvPicPr>
                  <pic:blipFill>
                    <a:blip r:embed="rId8" cstate="print">
                      <a:extLst>
                        <a:ext uri="{28A0092B-C50C-407E-A947-70E740481C1C}">
                          <a14:useLocalDpi xmlns:a14="http://schemas.microsoft.com/office/drawing/2010/main" val="0"/>
                        </a:ext>
                      </a:extLst>
                    </a:blip>
                    <a:srcRect t="6951" b="17113"/>
                    <a:stretch>
                      <a:fillRect/>
                    </a:stretch>
                  </pic:blipFill>
                  <pic:spPr bwMode="auto">
                    <a:xfrm>
                      <a:off x="0" y="0"/>
                      <a:ext cx="2646000" cy="902118"/>
                    </a:xfrm>
                    <a:prstGeom prst="rect">
                      <a:avLst/>
                    </a:prstGeom>
                    <a:ln>
                      <a:noFill/>
                    </a:ln>
                    <a:extLst>
                      <a:ext uri="{53640926-AAD7-44D8-BBD7-CCE9431645EC}">
                        <a14:shadowObscured xmlns:a14="http://schemas.microsoft.com/office/drawing/2010/main"/>
                      </a:ext>
                    </a:extLst>
                  </pic:spPr>
                </pic:pic>
              </a:graphicData>
            </a:graphic>
          </wp:inline>
        </w:drawing>
      </w:r>
      <w:bookmarkStart w:id="0" w:name="_Hlk98507719"/>
    </w:p>
    <w:p w14:paraId="6E2F31FD" w14:textId="77777777" w:rsidR="00EE4123" w:rsidRPr="00EE4123" w:rsidRDefault="00EE4123" w:rsidP="008A5BA7">
      <w:pPr>
        <w:jc w:val="both"/>
        <w:rPr>
          <w:rFonts w:ascii="Arial Nova" w:hAnsi="Arial Nova"/>
          <w:b/>
          <w:bCs/>
          <w:color w:val="0070C0"/>
          <w:sz w:val="32"/>
          <w:szCs w:val="32"/>
        </w:rPr>
      </w:pPr>
    </w:p>
    <w:p w14:paraId="6931D804" w14:textId="77777777" w:rsidR="006C5111" w:rsidRDefault="006C5111" w:rsidP="008A5BA7">
      <w:pPr>
        <w:jc w:val="both"/>
        <w:rPr>
          <w:rFonts w:ascii="Arial Nova" w:hAnsi="Arial Nova"/>
          <w:b/>
          <w:bCs/>
          <w:color w:val="0070C0"/>
          <w:sz w:val="32"/>
          <w:szCs w:val="32"/>
        </w:rPr>
      </w:pPr>
    </w:p>
    <w:p w14:paraId="60EB4514" w14:textId="15DCDBB3" w:rsidR="008A5BA7" w:rsidRPr="00EE4123" w:rsidRDefault="008A5BA7" w:rsidP="008A5BA7">
      <w:pPr>
        <w:jc w:val="both"/>
        <w:rPr>
          <w:rFonts w:ascii="Arial Nova" w:hAnsi="Arial Nova"/>
          <w:b/>
          <w:bCs/>
          <w:color w:val="0070C0"/>
          <w:sz w:val="32"/>
          <w:szCs w:val="32"/>
        </w:rPr>
      </w:pPr>
      <w:r w:rsidRPr="00EE4123">
        <w:rPr>
          <w:rFonts w:ascii="Arial Nova" w:hAnsi="Arial Nova"/>
          <w:b/>
          <w:bCs/>
          <w:color w:val="0070C0"/>
          <w:sz w:val="32"/>
          <w:szCs w:val="32"/>
        </w:rPr>
        <w:t>Recommendations from the South</w:t>
      </w:r>
      <w:r w:rsidR="00335A5E">
        <w:rPr>
          <w:rFonts w:ascii="Arial Nova" w:hAnsi="Arial Nova"/>
          <w:b/>
          <w:bCs/>
          <w:color w:val="0070C0"/>
          <w:sz w:val="32"/>
          <w:szCs w:val="32"/>
        </w:rPr>
        <w:t xml:space="preserve"> </w:t>
      </w:r>
      <w:r w:rsidRPr="00EE4123">
        <w:rPr>
          <w:rFonts w:ascii="Arial Nova" w:hAnsi="Arial Nova"/>
          <w:b/>
          <w:bCs/>
          <w:color w:val="0070C0"/>
          <w:sz w:val="32"/>
          <w:szCs w:val="32"/>
        </w:rPr>
        <w:t xml:space="preserve">West Clinical Senate Council on the impact of geography on the delivery of the Three Shifts, with a specific focus on coastal communities. </w:t>
      </w:r>
    </w:p>
    <w:bookmarkEnd w:id="0"/>
    <w:p w14:paraId="08CF8040" w14:textId="77777777" w:rsidR="009247C9" w:rsidRPr="00E254D0" w:rsidRDefault="009247C9"/>
    <w:p w14:paraId="6915F98C" w14:textId="77777777" w:rsidR="008A5BA7" w:rsidRPr="00E254D0" w:rsidRDefault="008A5BA7"/>
    <w:p w14:paraId="69B32E57" w14:textId="77777777" w:rsidR="008A5BA7" w:rsidRPr="00E254D0" w:rsidRDefault="008A5BA7"/>
    <w:p w14:paraId="68268AAE" w14:textId="77777777" w:rsidR="008A5BA7" w:rsidRPr="00E254D0" w:rsidRDefault="008A5BA7"/>
    <w:p w14:paraId="74FFF848" w14:textId="77777777" w:rsidR="008A5BA7" w:rsidRPr="00E254D0" w:rsidRDefault="008A5BA7"/>
    <w:p w14:paraId="574E91E1" w14:textId="77777777" w:rsidR="008A5BA7" w:rsidRPr="00E254D0" w:rsidRDefault="008A5BA7"/>
    <w:p w14:paraId="216A6447" w14:textId="77777777" w:rsidR="008A5BA7" w:rsidRPr="00E254D0" w:rsidRDefault="008A5BA7"/>
    <w:p w14:paraId="4DFAC630" w14:textId="77777777" w:rsidR="008A5BA7" w:rsidRPr="00E254D0" w:rsidRDefault="008A5BA7"/>
    <w:p w14:paraId="015A3E63" w14:textId="77777777" w:rsidR="008A5BA7" w:rsidRPr="00E254D0" w:rsidRDefault="008A5BA7"/>
    <w:p w14:paraId="796352C2" w14:textId="77777777" w:rsidR="008A5BA7" w:rsidRPr="00E254D0" w:rsidRDefault="008A5BA7"/>
    <w:p w14:paraId="09084C4E" w14:textId="77777777" w:rsidR="008A5BA7" w:rsidRPr="00E254D0" w:rsidRDefault="008A5BA7"/>
    <w:p w14:paraId="7F1A0C0E" w14:textId="77777777" w:rsidR="008A5BA7" w:rsidRPr="00E254D0" w:rsidRDefault="008A5BA7"/>
    <w:p w14:paraId="28EC9A5F" w14:textId="77777777" w:rsidR="008A5BA7" w:rsidRPr="00E254D0" w:rsidRDefault="008A5BA7"/>
    <w:p w14:paraId="2BC3B7DD" w14:textId="77777777" w:rsidR="008A5BA7" w:rsidRPr="00E254D0" w:rsidRDefault="008A5BA7"/>
    <w:p w14:paraId="751FB3B9" w14:textId="77777777" w:rsidR="006D69DF" w:rsidRPr="00E254D0" w:rsidRDefault="006D69DF"/>
    <w:p w14:paraId="2B18719B" w14:textId="759A83B7" w:rsidR="008A5BA7" w:rsidRPr="00E254D0" w:rsidRDefault="008A5BA7" w:rsidP="008A5BA7">
      <w:pPr>
        <w:spacing w:after="0"/>
        <w:rPr>
          <w:rFonts w:ascii="Arial Nova" w:hAnsi="Arial Nova" w:cs="Arial"/>
          <w:sz w:val="20"/>
          <w:szCs w:val="20"/>
        </w:rPr>
      </w:pPr>
      <w:r w:rsidRPr="00E254D0">
        <w:rPr>
          <w:rFonts w:ascii="Arial Nova" w:hAnsi="Arial Nova" w:cs="Arial"/>
          <w:sz w:val="20"/>
          <w:szCs w:val="20"/>
        </w:rPr>
        <w:t>Date created:</w:t>
      </w:r>
      <w:r w:rsidRPr="00E254D0">
        <w:rPr>
          <w:rFonts w:ascii="Arial Nova" w:hAnsi="Arial Nova" w:cs="Arial"/>
          <w:sz w:val="20"/>
          <w:szCs w:val="20"/>
        </w:rPr>
        <w:tab/>
        <w:t>05/06/2025</w:t>
      </w:r>
    </w:p>
    <w:p w14:paraId="63CB178E" w14:textId="15A19A62" w:rsidR="008A5BA7" w:rsidRPr="00E254D0" w:rsidRDefault="008A5BA7" w:rsidP="008A5BA7">
      <w:pPr>
        <w:spacing w:after="0"/>
        <w:rPr>
          <w:rFonts w:ascii="Arial Nova" w:hAnsi="Arial Nova" w:cs="Arial"/>
          <w:sz w:val="20"/>
          <w:szCs w:val="20"/>
        </w:rPr>
      </w:pPr>
      <w:r w:rsidRPr="00E254D0">
        <w:rPr>
          <w:rFonts w:ascii="Arial Nova" w:hAnsi="Arial Nova" w:cs="Arial"/>
          <w:sz w:val="20"/>
          <w:szCs w:val="20"/>
        </w:rPr>
        <w:t>Last updated:</w:t>
      </w:r>
      <w:r w:rsidRPr="00E254D0">
        <w:rPr>
          <w:rFonts w:ascii="Arial Nova" w:hAnsi="Arial Nova" w:cs="Arial"/>
          <w:sz w:val="20"/>
          <w:szCs w:val="20"/>
        </w:rPr>
        <w:tab/>
      </w:r>
    </w:p>
    <w:p w14:paraId="01539109" w14:textId="591855D4" w:rsidR="008A5BA7" w:rsidRPr="00E254D0" w:rsidRDefault="008A5BA7" w:rsidP="008A5BA7">
      <w:pPr>
        <w:spacing w:after="0"/>
        <w:rPr>
          <w:rFonts w:ascii="Arial Nova" w:hAnsi="Arial Nova" w:cs="Arial"/>
          <w:sz w:val="20"/>
          <w:szCs w:val="20"/>
        </w:rPr>
      </w:pPr>
      <w:r w:rsidRPr="00E254D0">
        <w:rPr>
          <w:rFonts w:ascii="Arial Nova" w:hAnsi="Arial Nova" w:cs="Arial"/>
          <w:sz w:val="20"/>
          <w:szCs w:val="20"/>
        </w:rPr>
        <w:t xml:space="preserve">Version: </w:t>
      </w:r>
      <w:r w:rsidRPr="00E254D0">
        <w:rPr>
          <w:rFonts w:ascii="Arial Nova" w:hAnsi="Arial Nova" w:cs="Arial"/>
          <w:sz w:val="20"/>
          <w:szCs w:val="20"/>
        </w:rPr>
        <w:tab/>
        <w:t>1.0</w:t>
      </w:r>
    </w:p>
    <w:p w14:paraId="7DEFAFB4" w14:textId="77777777" w:rsidR="008A5BA7" w:rsidRPr="00E254D0" w:rsidRDefault="008A5BA7" w:rsidP="008A5BA7">
      <w:pPr>
        <w:spacing w:after="0"/>
        <w:rPr>
          <w:rFonts w:ascii="Arial Nova" w:hAnsi="Arial Nova" w:cs="Arial"/>
          <w:sz w:val="20"/>
          <w:szCs w:val="20"/>
        </w:rPr>
      </w:pPr>
    </w:p>
    <w:p w14:paraId="6F347763" w14:textId="205DABEB" w:rsidR="008A5BA7" w:rsidRPr="00E254D0" w:rsidRDefault="006D69DF" w:rsidP="00EC639D">
      <w:pPr>
        <w:spacing w:after="0"/>
        <w:rPr>
          <w:rFonts w:ascii="Arial Nova" w:hAnsi="Arial Nova" w:cs="Arial"/>
          <w:sz w:val="20"/>
          <w:szCs w:val="20"/>
        </w:rPr>
      </w:pPr>
      <w:r w:rsidRPr="00E254D0">
        <w:rPr>
          <w:rFonts w:ascii="Arial Nova" w:hAnsi="Arial Nova" w:cs="Arial"/>
          <w:sz w:val="20"/>
          <w:szCs w:val="20"/>
        </w:rPr>
        <w:t>Authors</w:t>
      </w:r>
      <w:r w:rsidR="008A5BA7" w:rsidRPr="00E254D0">
        <w:rPr>
          <w:rFonts w:ascii="Arial Nova" w:hAnsi="Arial Nova" w:cs="Arial"/>
          <w:sz w:val="20"/>
          <w:szCs w:val="20"/>
        </w:rPr>
        <w:t xml:space="preserve">: </w:t>
      </w:r>
      <w:r w:rsidRPr="00E254D0">
        <w:rPr>
          <w:rFonts w:ascii="Arial Nova" w:hAnsi="Arial Nova" w:cs="Arial"/>
          <w:sz w:val="20"/>
          <w:szCs w:val="20"/>
        </w:rPr>
        <w:tab/>
        <w:t>Marion Andrews-Evans BEM, Chair of the South West Clinical Senate</w:t>
      </w:r>
      <w:r w:rsidRPr="00E254D0">
        <w:rPr>
          <w:rFonts w:ascii="Arial Nova" w:hAnsi="Arial Nova" w:cs="Arial"/>
          <w:sz w:val="20"/>
          <w:szCs w:val="20"/>
        </w:rPr>
        <w:br/>
      </w:r>
      <w:r w:rsidRPr="00E254D0">
        <w:rPr>
          <w:rFonts w:ascii="Arial Nova" w:hAnsi="Arial Nova" w:cs="Arial"/>
          <w:sz w:val="20"/>
          <w:szCs w:val="20"/>
        </w:rPr>
        <w:tab/>
      </w:r>
      <w:r w:rsidRPr="00E254D0">
        <w:rPr>
          <w:rFonts w:ascii="Arial Nova" w:hAnsi="Arial Nova" w:cs="Arial"/>
          <w:sz w:val="20"/>
          <w:szCs w:val="20"/>
        </w:rPr>
        <w:tab/>
        <w:t xml:space="preserve">Fiona Baldwin, </w:t>
      </w:r>
      <w:r w:rsidR="00EC639D" w:rsidRPr="00EC639D">
        <w:rPr>
          <w:rFonts w:ascii="Arial Nova" w:hAnsi="Arial Nova" w:cs="Arial"/>
          <w:sz w:val="20"/>
          <w:szCs w:val="20"/>
        </w:rPr>
        <w:t>Assistant Director Clinical Programmes / Networks and SW Clinical Senate</w:t>
      </w:r>
    </w:p>
    <w:p w14:paraId="18520B3B" w14:textId="6B434287" w:rsidR="006D69DF" w:rsidRPr="00E254D0" w:rsidRDefault="006D69DF" w:rsidP="008A5BA7">
      <w:pPr>
        <w:spacing w:after="0"/>
        <w:rPr>
          <w:rFonts w:ascii="Arial Nova" w:hAnsi="Arial Nova" w:cs="Arial"/>
          <w:sz w:val="20"/>
          <w:szCs w:val="20"/>
        </w:rPr>
      </w:pPr>
      <w:r w:rsidRPr="00E254D0">
        <w:rPr>
          <w:rFonts w:ascii="Arial Nova" w:hAnsi="Arial Nova" w:cs="Arial"/>
          <w:sz w:val="20"/>
          <w:szCs w:val="20"/>
        </w:rPr>
        <w:tab/>
      </w:r>
      <w:r w:rsidRPr="00E254D0">
        <w:rPr>
          <w:rFonts w:ascii="Arial Nova" w:hAnsi="Arial Nova" w:cs="Arial"/>
          <w:sz w:val="20"/>
          <w:szCs w:val="20"/>
        </w:rPr>
        <w:tab/>
        <w:t xml:space="preserve">Natasha Ficarotta, Senate </w:t>
      </w:r>
      <w:r w:rsidR="005C5B5D">
        <w:rPr>
          <w:rFonts w:ascii="Arial Nova" w:hAnsi="Arial Nova" w:cs="Arial"/>
          <w:sz w:val="20"/>
          <w:szCs w:val="20"/>
        </w:rPr>
        <w:t>Project</w:t>
      </w:r>
      <w:r w:rsidRPr="00E254D0">
        <w:rPr>
          <w:rFonts w:ascii="Arial Nova" w:hAnsi="Arial Nova" w:cs="Arial"/>
          <w:sz w:val="20"/>
          <w:szCs w:val="20"/>
        </w:rPr>
        <w:t xml:space="preserve"> Officer</w:t>
      </w:r>
    </w:p>
    <w:p w14:paraId="692EC551" w14:textId="77777777" w:rsidR="008A5BA7" w:rsidRPr="00E254D0" w:rsidRDefault="008A5BA7" w:rsidP="008A5BA7">
      <w:pPr>
        <w:pStyle w:val="ListParagraph"/>
        <w:spacing w:line="300" w:lineRule="auto"/>
        <w:ind w:right="43"/>
        <w:rPr>
          <w:rFonts w:ascii="Arial" w:hAnsi="Arial" w:cs="Arial"/>
          <w:b/>
          <w:bCs/>
        </w:rPr>
      </w:pPr>
    </w:p>
    <w:p w14:paraId="304390D8" w14:textId="5C3EC86D" w:rsidR="006D69DF" w:rsidRPr="00E254D0" w:rsidRDefault="006D69DF">
      <w:pPr>
        <w:widowControl/>
        <w:spacing w:after="160" w:line="278" w:lineRule="auto"/>
      </w:pPr>
      <w:r w:rsidRPr="00E254D0">
        <w:br w:type="page"/>
      </w:r>
    </w:p>
    <w:sdt>
      <w:sdtPr>
        <w:rPr>
          <w:rFonts w:asciiTheme="minorHAnsi" w:eastAsiaTheme="minorHAnsi" w:hAnsiTheme="minorHAnsi" w:cstheme="minorBidi"/>
          <w:color w:val="auto"/>
          <w:sz w:val="22"/>
          <w:szCs w:val="22"/>
          <w:lang w:eastAsia="en-US"/>
        </w:rPr>
        <w:id w:val="745072434"/>
        <w:docPartObj>
          <w:docPartGallery w:val="Table of Contents"/>
          <w:docPartUnique/>
        </w:docPartObj>
      </w:sdtPr>
      <w:sdtEndPr>
        <w:rPr>
          <w:b/>
          <w:bCs/>
        </w:rPr>
      </w:sdtEndPr>
      <w:sdtContent>
        <w:p w14:paraId="54B5E87D" w14:textId="045A45CC" w:rsidR="003E3FB5" w:rsidRDefault="003E3FB5">
          <w:pPr>
            <w:pStyle w:val="TOCHeading"/>
          </w:pPr>
          <w:r w:rsidRPr="00E254D0">
            <w:t>Table of Contents</w:t>
          </w:r>
        </w:p>
        <w:p w14:paraId="40A3DCAE" w14:textId="77777777" w:rsidR="002F29E6" w:rsidRDefault="002F29E6">
          <w:pPr>
            <w:pStyle w:val="TOC2"/>
            <w:tabs>
              <w:tab w:val="left" w:pos="960"/>
              <w:tab w:val="right" w:leader="dot" w:pos="10456"/>
            </w:tabs>
          </w:pPr>
        </w:p>
        <w:p w14:paraId="3A05C24F" w14:textId="29947D9E" w:rsidR="006D35B1" w:rsidRDefault="003E3FB5">
          <w:pPr>
            <w:pStyle w:val="TOC2"/>
            <w:tabs>
              <w:tab w:val="left" w:pos="960"/>
              <w:tab w:val="right" w:leader="dot" w:pos="10456"/>
            </w:tabs>
            <w:rPr>
              <w:rFonts w:eastAsiaTheme="minorEastAsia"/>
              <w:noProof/>
              <w:kern w:val="2"/>
              <w:sz w:val="24"/>
              <w:szCs w:val="24"/>
              <w:lang w:eastAsia="en-GB"/>
              <w14:ligatures w14:val="standardContextual"/>
            </w:rPr>
          </w:pPr>
          <w:r w:rsidRPr="00E254D0">
            <w:fldChar w:fldCharType="begin"/>
          </w:r>
          <w:r w:rsidRPr="00E254D0">
            <w:instrText xml:space="preserve"> TOC \o "1-3" \h \z \u </w:instrText>
          </w:r>
          <w:r w:rsidRPr="00E254D0">
            <w:fldChar w:fldCharType="separate"/>
          </w:r>
          <w:hyperlink w:anchor="_Toc201230567" w:history="1">
            <w:r w:rsidR="006D35B1" w:rsidRPr="0014726C">
              <w:rPr>
                <w:rStyle w:val="Hyperlink"/>
                <w:noProof/>
              </w:rPr>
              <w:t>1.0</w:t>
            </w:r>
            <w:r w:rsidR="006D35B1">
              <w:rPr>
                <w:rFonts w:eastAsiaTheme="minorEastAsia"/>
                <w:noProof/>
                <w:kern w:val="2"/>
                <w:sz w:val="24"/>
                <w:szCs w:val="24"/>
                <w:lang w:eastAsia="en-GB"/>
                <w14:ligatures w14:val="standardContextual"/>
              </w:rPr>
              <w:tab/>
            </w:r>
            <w:r w:rsidR="006D35B1" w:rsidRPr="0014726C">
              <w:rPr>
                <w:rStyle w:val="Hyperlink"/>
                <w:noProof/>
              </w:rPr>
              <w:t>Background</w:t>
            </w:r>
            <w:r w:rsidR="006D35B1">
              <w:rPr>
                <w:noProof/>
                <w:webHidden/>
              </w:rPr>
              <w:tab/>
            </w:r>
            <w:r w:rsidR="006D35B1">
              <w:rPr>
                <w:noProof/>
                <w:webHidden/>
              </w:rPr>
              <w:fldChar w:fldCharType="begin"/>
            </w:r>
            <w:r w:rsidR="006D35B1">
              <w:rPr>
                <w:noProof/>
                <w:webHidden/>
              </w:rPr>
              <w:instrText xml:space="preserve"> PAGEREF _Toc201230567 \h </w:instrText>
            </w:r>
            <w:r w:rsidR="006D35B1">
              <w:rPr>
                <w:noProof/>
                <w:webHidden/>
              </w:rPr>
            </w:r>
            <w:r w:rsidR="006D35B1">
              <w:rPr>
                <w:noProof/>
                <w:webHidden/>
              </w:rPr>
              <w:fldChar w:fldCharType="separate"/>
            </w:r>
            <w:r w:rsidR="00CF0C77">
              <w:rPr>
                <w:noProof/>
                <w:webHidden/>
              </w:rPr>
              <w:t>3</w:t>
            </w:r>
            <w:r w:rsidR="006D35B1">
              <w:rPr>
                <w:noProof/>
                <w:webHidden/>
              </w:rPr>
              <w:fldChar w:fldCharType="end"/>
            </w:r>
          </w:hyperlink>
        </w:p>
        <w:p w14:paraId="09FC187C" w14:textId="59425B62" w:rsidR="006D35B1" w:rsidRDefault="006D35B1">
          <w:pPr>
            <w:pStyle w:val="TOC2"/>
            <w:tabs>
              <w:tab w:val="left" w:pos="960"/>
              <w:tab w:val="right" w:leader="dot" w:pos="10456"/>
            </w:tabs>
            <w:rPr>
              <w:rFonts w:eastAsiaTheme="minorEastAsia"/>
              <w:noProof/>
              <w:kern w:val="2"/>
              <w:sz w:val="24"/>
              <w:szCs w:val="24"/>
              <w:lang w:eastAsia="en-GB"/>
              <w14:ligatures w14:val="standardContextual"/>
            </w:rPr>
          </w:pPr>
          <w:hyperlink w:anchor="_Toc201230568" w:history="1">
            <w:r w:rsidRPr="0014726C">
              <w:rPr>
                <w:rStyle w:val="Hyperlink"/>
                <w:noProof/>
              </w:rPr>
              <w:t>1.1</w:t>
            </w:r>
            <w:r>
              <w:rPr>
                <w:rFonts w:eastAsiaTheme="minorEastAsia"/>
                <w:noProof/>
                <w:kern w:val="2"/>
                <w:sz w:val="24"/>
                <w:szCs w:val="24"/>
                <w:lang w:eastAsia="en-GB"/>
                <w14:ligatures w14:val="standardContextual"/>
              </w:rPr>
              <w:tab/>
            </w:r>
            <w:r w:rsidRPr="0014726C">
              <w:rPr>
                <w:rStyle w:val="Hyperlink"/>
                <w:noProof/>
              </w:rPr>
              <w:t>Chief Medical Officer’s Annual Report 2021: Health in Coastal Communities</w:t>
            </w:r>
            <w:r>
              <w:rPr>
                <w:noProof/>
                <w:webHidden/>
              </w:rPr>
              <w:tab/>
            </w:r>
            <w:r>
              <w:rPr>
                <w:noProof/>
                <w:webHidden/>
              </w:rPr>
              <w:fldChar w:fldCharType="begin"/>
            </w:r>
            <w:r>
              <w:rPr>
                <w:noProof/>
                <w:webHidden/>
              </w:rPr>
              <w:instrText xml:space="preserve"> PAGEREF _Toc201230568 \h </w:instrText>
            </w:r>
            <w:r>
              <w:rPr>
                <w:noProof/>
                <w:webHidden/>
              </w:rPr>
            </w:r>
            <w:r>
              <w:rPr>
                <w:noProof/>
                <w:webHidden/>
              </w:rPr>
              <w:fldChar w:fldCharType="separate"/>
            </w:r>
            <w:r w:rsidR="00CF0C77">
              <w:rPr>
                <w:noProof/>
                <w:webHidden/>
              </w:rPr>
              <w:t>4</w:t>
            </w:r>
            <w:r>
              <w:rPr>
                <w:noProof/>
                <w:webHidden/>
              </w:rPr>
              <w:fldChar w:fldCharType="end"/>
            </w:r>
          </w:hyperlink>
        </w:p>
        <w:p w14:paraId="274400F9" w14:textId="13EF70D6" w:rsidR="006D35B1" w:rsidRDefault="006D35B1">
          <w:pPr>
            <w:pStyle w:val="TOC2"/>
            <w:tabs>
              <w:tab w:val="left" w:pos="960"/>
              <w:tab w:val="right" w:leader="dot" w:pos="10456"/>
            </w:tabs>
            <w:rPr>
              <w:rFonts w:eastAsiaTheme="minorEastAsia"/>
              <w:noProof/>
              <w:kern w:val="2"/>
              <w:sz w:val="24"/>
              <w:szCs w:val="24"/>
              <w:lang w:eastAsia="en-GB"/>
              <w14:ligatures w14:val="standardContextual"/>
            </w:rPr>
          </w:pPr>
          <w:hyperlink w:anchor="_Toc201230569" w:history="1">
            <w:r w:rsidRPr="0014726C">
              <w:rPr>
                <w:rStyle w:val="Hyperlink"/>
                <w:noProof/>
              </w:rPr>
              <w:t>1.2</w:t>
            </w:r>
            <w:r>
              <w:rPr>
                <w:rFonts w:eastAsiaTheme="minorEastAsia"/>
                <w:noProof/>
                <w:kern w:val="2"/>
                <w:sz w:val="24"/>
                <w:szCs w:val="24"/>
                <w:lang w:eastAsia="en-GB"/>
                <w14:ligatures w14:val="standardContextual"/>
              </w:rPr>
              <w:tab/>
            </w:r>
            <w:r w:rsidRPr="0014726C">
              <w:rPr>
                <w:rStyle w:val="Hyperlink"/>
                <w:noProof/>
              </w:rPr>
              <w:t>Understanding Coastal Communities in the South West</w:t>
            </w:r>
            <w:r>
              <w:rPr>
                <w:noProof/>
                <w:webHidden/>
              </w:rPr>
              <w:tab/>
            </w:r>
            <w:r>
              <w:rPr>
                <w:noProof/>
                <w:webHidden/>
              </w:rPr>
              <w:fldChar w:fldCharType="begin"/>
            </w:r>
            <w:r>
              <w:rPr>
                <w:noProof/>
                <w:webHidden/>
              </w:rPr>
              <w:instrText xml:space="preserve"> PAGEREF _Toc201230569 \h </w:instrText>
            </w:r>
            <w:r>
              <w:rPr>
                <w:noProof/>
                <w:webHidden/>
              </w:rPr>
            </w:r>
            <w:r>
              <w:rPr>
                <w:noProof/>
                <w:webHidden/>
              </w:rPr>
              <w:fldChar w:fldCharType="separate"/>
            </w:r>
            <w:r w:rsidR="00CF0C77">
              <w:rPr>
                <w:noProof/>
                <w:webHidden/>
              </w:rPr>
              <w:t>5</w:t>
            </w:r>
            <w:r>
              <w:rPr>
                <w:noProof/>
                <w:webHidden/>
              </w:rPr>
              <w:fldChar w:fldCharType="end"/>
            </w:r>
          </w:hyperlink>
        </w:p>
        <w:p w14:paraId="76E62593" w14:textId="5B50419E" w:rsidR="006D35B1" w:rsidRDefault="006D35B1">
          <w:pPr>
            <w:pStyle w:val="TOC2"/>
            <w:tabs>
              <w:tab w:val="left" w:pos="960"/>
              <w:tab w:val="right" w:leader="dot" w:pos="10456"/>
            </w:tabs>
            <w:rPr>
              <w:rFonts w:eastAsiaTheme="minorEastAsia"/>
              <w:noProof/>
              <w:kern w:val="2"/>
              <w:sz w:val="24"/>
              <w:szCs w:val="24"/>
              <w:lang w:eastAsia="en-GB"/>
              <w14:ligatures w14:val="standardContextual"/>
            </w:rPr>
          </w:pPr>
          <w:hyperlink w:anchor="_Toc201230570" w:history="1">
            <w:r w:rsidRPr="0014726C">
              <w:rPr>
                <w:rStyle w:val="Hyperlink"/>
                <w:noProof/>
              </w:rPr>
              <w:t>1.3</w:t>
            </w:r>
            <w:r>
              <w:rPr>
                <w:rFonts w:eastAsiaTheme="minorEastAsia"/>
                <w:noProof/>
                <w:kern w:val="2"/>
                <w:sz w:val="24"/>
                <w:szCs w:val="24"/>
                <w:lang w:eastAsia="en-GB"/>
                <w14:ligatures w14:val="standardContextual"/>
              </w:rPr>
              <w:tab/>
            </w:r>
            <w:r w:rsidRPr="0014726C">
              <w:rPr>
                <w:rStyle w:val="Hyperlink"/>
                <w:noProof/>
              </w:rPr>
              <w:t xml:space="preserve">Reflections on the Work of Health Innovation South West: Closing the Health Innovation Gap </w:t>
            </w:r>
            <w:r>
              <w:rPr>
                <w:noProof/>
                <w:webHidden/>
              </w:rPr>
              <w:tab/>
            </w:r>
            <w:r>
              <w:rPr>
                <w:noProof/>
                <w:webHidden/>
              </w:rPr>
              <w:fldChar w:fldCharType="begin"/>
            </w:r>
            <w:r>
              <w:rPr>
                <w:noProof/>
                <w:webHidden/>
              </w:rPr>
              <w:instrText xml:space="preserve"> PAGEREF _Toc201230570 \h </w:instrText>
            </w:r>
            <w:r>
              <w:rPr>
                <w:noProof/>
                <w:webHidden/>
              </w:rPr>
            </w:r>
            <w:r>
              <w:rPr>
                <w:noProof/>
                <w:webHidden/>
              </w:rPr>
              <w:fldChar w:fldCharType="separate"/>
            </w:r>
            <w:r w:rsidR="00CF0C77">
              <w:rPr>
                <w:noProof/>
                <w:webHidden/>
              </w:rPr>
              <w:t>6</w:t>
            </w:r>
            <w:r>
              <w:rPr>
                <w:noProof/>
                <w:webHidden/>
              </w:rPr>
              <w:fldChar w:fldCharType="end"/>
            </w:r>
          </w:hyperlink>
        </w:p>
        <w:p w14:paraId="763C5F6D" w14:textId="727E339C" w:rsidR="006D35B1" w:rsidRDefault="006D35B1">
          <w:pPr>
            <w:pStyle w:val="TOC2"/>
            <w:tabs>
              <w:tab w:val="left" w:pos="960"/>
              <w:tab w:val="right" w:leader="dot" w:pos="10456"/>
            </w:tabs>
            <w:rPr>
              <w:rFonts w:eastAsiaTheme="minorEastAsia"/>
              <w:noProof/>
              <w:kern w:val="2"/>
              <w:sz w:val="24"/>
              <w:szCs w:val="24"/>
              <w:lang w:eastAsia="en-GB"/>
              <w14:ligatures w14:val="standardContextual"/>
            </w:rPr>
          </w:pPr>
          <w:hyperlink w:anchor="_Toc201230571" w:history="1">
            <w:r w:rsidRPr="0014726C">
              <w:rPr>
                <w:rStyle w:val="Hyperlink"/>
                <w:noProof/>
              </w:rPr>
              <w:t>1.4</w:t>
            </w:r>
            <w:r>
              <w:rPr>
                <w:rFonts w:eastAsiaTheme="minorEastAsia"/>
                <w:noProof/>
                <w:kern w:val="2"/>
                <w:sz w:val="24"/>
                <w:szCs w:val="24"/>
                <w:lang w:eastAsia="en-GB"/>
                <w14:ligatures w14:val="standardContextual"/>
              </w:rPr>
              <w:tab/>
            </w:r>
            <w:r w:rsidRPr="0014726C">
              <w:rPr>
                <w:rStyle w:val="Hyperlink"/>
                <w:noProof/>
              </w:rPr>
              <w:t>Reflections on The Three Shifts: A Community Perspective from Torbay</w:t>
            </w:r>
            <w:r>
              <w:rPr>
                <w:noProof/>
                <w:webHidden/>
              </w:rPr>
              <w:tab/>
            </w:r>
            <w:r>
              <w:rPr>
                <w:noProof/>
                <w:webHidden/>
              </w:rPr>
              <w:fldChar w:fldCharType="begin"/>
            </w:r>
            <w:r>
              <w:rPr>
                <w:noProof/>
                <w:webHidden/>
              </w:rPr>
              <w:instrText xml:space="preserve"> PAGEREF _Toc201230571 \h </w:instrText>
            </w:r>
            <w:r>
              <w:rPr>
                <w:noProof/>
                <w:webHidden/>
              </w:rPr>
            </w:r>
            <w:r>
              <w:rPr>
                <w:noProof/>
                <w:webHidden/>
              </w:rPr>
              <w:fldChar w:fldCharType="separate"/>
            </w:r>
            <w:r w:rsidR="00CF0C77">
              <w:rPr>
                <w:noProof/>
                <w:webHidden/>
              </w:rPr>
              <w:t>6</w:t>
            </w:r>
            <w:r>
              <w:rPr>
                <w:noProof/>
                <w:webHidden/>
              </w:rPr>
              <w:fldChar w:fldCharType="end"/>
            </w:r>
          </w:hyperlink>
        </w:p>
        <w:p w14:paraId="0525CF83" w14:textId="2C1719FB"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72" w:history="1">
            <w:r w:rsidRPr="0014726C">
              <w:rPr>
                <w:rStyle w:val="Hyperlink"/>
                <w:noProof/>
              </w:rPr>
              <w:t xml:space="preserve">2.0 </w:t>
            </w:r>
            <w:r>
              <w:rPr>
                <w:rStyle w:val="Hyperlink"/>
                <w:noProof/>
              </w:rPr>
              <w:t xml:space="preserve">         </w:t>
            </w:r>
            <w:r w:rsidRPr="0014726C">
              <w:rPr>
                <w:rStyle w:val="Hyperlink"/>
                <w:noProof/>
              </w:rPr>
              <w:t>The Questions</w:t>
            </w:r>
            <w:r>
              <w:rPr>
                <w:noProof/>
                <w:webHidden/>
              </w:rPr>
              <w:tab/>
            </w:r>
            <w:r>
              <w:rPr>
                <w:noProof/>
                <w:webHidden/>
              </w:rPr>
              <w:fldChar w:fldCharType="begin"/>
            </w:r>
            <w:r>
              <w:rPr>
                <w:noProof/>
                <w:webHidden/>
              </w:rPr>
              <w:instrText xml:space="preserve"> PAGEREF _Toc201230572 \h </w:instrText>
            </w:r>
            <w:r>
              <w:rPr>
                <w:noProof/>
                <w:webHidden/>
              </w:rPr>
            </w:r>
            <w:r>
              <w:rPr>
                <w:noProof/>
                <w:webHidden/>
              </w:rPr>
              <w:fldChar w:fldCharType="separate"/>
            </w:r>
            <w:r w:rsidR="00CF0C77">
              <w:rPr>
                <w:noProof/>
                <w:webHidden/>
              </w:rPr>
              <w:t>7</w:t>
            </w:r>
            <w:r>
              <w:rPr>
                <w:noProof/>
                <w:webHidden/>
              </w:rPr>
              <w:fldChar w:fldCharType="end"/>
            </w:r>
          </w:hyperlink>
        </w:p>
        <w:p w14:paraId="16969242" w14:textId="13B65785"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73" w:history="1">
            <w:r w:rsidRPr="0014726C">
              <w:rPr>
                <w:rStyle w:val="Hyperlink"/>
                <w:noProof/>
              </w:rPr>
              <w:t xml:space="preserve">3.0 </w:t>
            </w:r>
            <w:r>
              <w:rPr>
                <w:rStyle w:val="Hyperlink"/>
                <w:noProof/>
              </w:rPr>
              <w:t xml:space="preserve">         </w:t>
            </w:r>
            <w:r w:rsidRPr="0014726C">
              <w:rPr>
                <w:rStyle w:val="Hyperlink"/>
                <w:noProof/>
              </w:rPr>
              <w:t>Recommendations</w:t>
            </w:r>
            <w:r>
              <w:rPr>
                <w:noProof/>
                <w:webHidden/>
              </w:rPr>
              <w:tab/>
            </w:r>
            <w:r>
              <w:rPr>
                <w:noProof/>
                <w:webHidden/>
              </w:rPr>
              <w:fldChar w:fldCharType="begin"/>
            </w:r>
            <w:r>
              <w:rPr>
                <w:noProof/>
                <w:webHidden/>
              </w:rPr>
              <w:instrText xml:space="preserve"> PAGEREF _Toc201230573 \h </w:instrText>
            </w:r>
            <w:r>
              <w:rPr>
                <w:noProof/>
                <w:webHidden/>
              </w:rPr>
            </w:r>
            <w:r>
              <w:rPr>
                <w:noProof/>
                <w:webHidden/>
              </w:rPr>
              <w:fldChar w:fldCharType="separate"/>
            </w:r>
            <w:r w:rsidR="00CF0C77">
              <w:rPr>
                <w:noProof/>
                <w:webHidden/>
              </w:rPr>
              <w:t>8</w:t>
            </w:r>
            <w:r>
              <w:rPr>
                <w:noProof/>
                <w:webHidden/>
              </w:rPr>
              <w:fldChar w:fldCharType="end"/>
            </w:r>
          </w:hyperlink>
        </w:p>
        <w:p w14:paraId="73C7C39E" w14:textId="41AA272E"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81" w:history="1">
            <w:r w:rsidRPr="0014726C">
              <w:rPr>
                <w:rStyle w:val="Hyperlink"/>
                <w:noProof/>
              </w:rPr>
              <w:t xml:space="preserve">4.0 </w:t>
            </w:r>
            <w:r>
              <w:rPr>
                <w:rStyle w:val="Hyperlink"/>
                <w:noProof/>
              </w:rPr>
              <w:t xml:space="preserve">         </w:t>
            </w:r>
            <w:r w:rsidRPr="0014726C">
              <w:rPr>
                <w:rStyle w:val="Hyperlink"/>
                <w:noProof/>
              </w:rPr>
              <w:t>Conclusion</w:t>
            </w:r>
            <w:r>
              <w:rPr>
                <w:noProof/>
                <w:webHidden/>
              </w:rPr>
              <w:tab/>
            </w:r>
            <w:r>
              <w:rPr>
                <w:noProof/>
                <w:webHidden/>
              </w:rPr>
              <w:fldChar w:fldCharType="begin"/>
            </w:r>
            <w:r>
              <w:rPr>
                <w:noProof/>
                <w:webHidden/>
              </w:rPr>
              <w:instrText xml:space="preserve"> PAGEREF _Toc201230581 \h </w:instrText>
            </w:r>
            <w:r>
              <w:rPr>
                <w:noProof/>
                <w:webHidden/>
              </w:rPr>
            </w:r>
            <w:r>
              <w:rPr>
                <w:noProof/>
                <w:webHidden/>
              </w:rPr>
              <w:fldChar w:fldCharType="separate"/>
            </w:r>
            <w:r w:rsidR="00CF0C77">
              <w:rPr>
                <w:noProof/>
                <w:webHidden/>
              </w:rPr>
              <w:t>10</w:t>
            </w:r>
            <w:r>
              <w:rPr>
                <w:noProof/>
                <w:webHidden/>
              </w:rPr>
              <w:fldChar w:fldCharType="end"/>
            </w:r>
          </w:hyperlink>
        </w:p>
        <w:p w14:paraId="51A87DA2" w14:textId="7F8D3DD2"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82" w:history="1">
            <w:r w:rsidRPr="0014726C">
              <w:rPr>
                <w:rStyle w:val="Hyperlink"/>
                <w:noProof/>
              </w:rPr>
              <w:t xml:space="preserve">5.0 </w:t>
            </w:r>
            <w:r>
              <w:rPr>
                <w:rStyle w:val="Hyperlink"/>
                <w:noProof/>
              </w:rPr>
              <w:t xml:space="preserve">        </w:t>
            </w:r>
            <w:r w:rsidRPr="0014726C">
              <w:rPr>
                <w:rStyle w:val="Hyperlink"/>
                <w:noProof/>
              </w:rPr>
              <w:t>References</w:t>
            </w:r>
            <w:r>
              <w:rPr>
                <w:noProof/>
                <w:webHidden/>
              </w:rPr>
              <w:tab/>
            </w:r>
            <w:r>
              <w:rPr>
                <w:noProof/>
                <w:webHidden/>
              </w:rPr>
              <w:fldChar w:fldCharType="begin"/>
            </w:r>
            <w:r>
              <w:rPr>
                <w:noProof/>
                <w:webHidden/>
              </w:rPr>
              <w:instrText xml:space="preserve"> PAGEREF _Toc201230582 \h </w:instrText>
            </w:r>
            <w:r>
              <w:rPr>
                <w:noProof/>
                <w:webHidden/>
              </w:rPr>
            </w:r>
            <w:r>
              <w:rPr>
                <w:noProof/>
                <w:webHidden/>
              </w:rPr>
              <w:fldChar w:fldCharType="separate"/>
            </w:r>
            <w:r w:rsidR="00CF0C77">
              <w:rPr>
                <w:noProof/>
                <w:webHidden/>
              </w:rPr>
              <w:t>11</w:t>
            </w:r>
            <w:r>
              <w:rPr>
                <w:noProof/>
                <w:webHidden/>
              </w:rPr>
              <w:fldChar w:fldCharType="end"/>
            </w:r>
          </w:hyperlink>
        </w:p>
        <w:p w14:paraId="47E885CB" w14:textId="77E2EF2A"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83" w:history="1">
            <w:r w:rsidRPr="0014726C">
              <w:rPr>
                <w:rStyle w:val="Hyperlink"/>
                <w:noProof/>
              </w:rPr>
              <w:t>Appendix 1: Links to Speaker Presentations</w:t>
            </w:r>
            <w:r>
              <w:rPr>
                <w:noProof/>
                <w:webHidden/>
              </w:rPr>
              <w:tab/>
            </w:r>
            <w:r>
              <w:rPr>
                <w:noProof/>
                <w:webHidden/>
              </w:rPr>
              <w:fldChar w:fldCharType="begin"/>
            </w:r>
            <w:r>
              <w:rPr>
                <w:noProof/>
                <w:webHidden/>
              </w:rPr>
              <w:instrText xml:space="preserve"> PAGEREF _Toc201230583 \h </w:instrText>
            </w:r>
            <w:r>
              <w:rPr>
                <w:noProof/>
                <w:webHidden/>
              </w:rPr>
            </w:r>
            <w:r>
              <w:rPr>
                <w:noProof/>
                <w:webHidden/>
              </w:rPr>
              <w:fldChar w:fldCharType="separate"/>
            </w:r>
            <w:r w:rsidR="00CF0C77">
              <w:rPr>
                <w:noProof/>
                <w:webHidden/>
              </w:rPr>
              <w:t>13</w:t>
            </w:r>
            <w:r>
              <w:rPr>
                <w:noProof/>
                <w:webHidden/>
              </w:rPr>
              <w:fldChar w:fldCharType="end"/>
            </w:r>
          </w:hyperlink>
        </w:p>
        <w:p w14:paraId="3E61A3B3" w14:textId="40C5B844"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84" w:history="1">
            <w:r w:rsidRPr="0014726C">
              <w:rPr>
                <w:rStyle w:val="Hyperlink"/>
                <w:noProof/>
              </w:rPr>
              <w:t>Appendix 2: Senate Council Membership</w:t>
            </w:r>
            <w:r>
              <w:rPr>
                <w:noProof/>
                <w:webHidden/>
              </w:rPr>
              <w:tab/>
            </w:r>
            <w:r>
              <w:rPr>
                <w:noProof/>
                <w:webHidden/>
              </w:rPr>
              <w:fldChar w:fldCharType="begin"/>
            </w:r>
            <w:r>
              <w:rPr>
                <w:noProof/>
                <w:webHidden/>
              </w:rPr>
              <w:instrText xml:space="preserve"> PAGEREF _Toc201230584 \h </w:instrText>
            </w:r>
            <w:r>
              <w:rPr>
                <w:noProof/>
                <w:webHidden/>
              </w:rPr>
            </w:r>
            <w:r>
              <w:rPr>
                <w:noProof/>
                <w:webHidden/>
              </w:rPr>
              <w:fldChar w:fldCharType="separate"/>
            </w:r>
            <w:r w:rsidR="00CF0C77">
              <w:rPr>
                <w:noProof/>
                <w:webHidden/>
              </w:rPr>
              <w:t>14</w:t>
            </w:r>
            <w:r>
              <w:rPr>
                <w:noProof/>
                <w:webHidden/>
              </w:rPr>
              <w:fldChar w:fldCharType="end"/>
            </w:r>
          </w:hyperlink>
        </w:p>
        <w:p w14:paraId="42D1D388" w14:textId="311C637D" w:rsidR="006D35B1" w:rsidRDefault="006D35B1">
          <w:pPr>
            <w:pStyle w:val="TOC2"/>
            <w:tabs>
              <w:tab w:val="right" w:leader="dot" w:pos="10456"/>
            </w:tabs>
            <w:rPr>
              <w:rFonts w:eastAsiaTheme="minorEastAsia"/>
              <w:noProof/>
              <w:kern w:val="2"/>
              <w:sz w:val="24"/>
              <w:szCs w:val="24"/>
              <w:lang w:eastAsia="en-GB"/>
              <w14:ligatures w14:val="standardContextual"/>
            </w:rPr>
          </w:pPr>
          <w:hyperlink w:anchor="_Toc201230585" w:history="1">
            <w:r w:rsidRPr="0014726C">
              <w:rPr>
                <w:rStyle w:val="Hyperlink"/>
                <w:noProof/>
              </w:rPr>
              <w:t>Appendix 3: Other attendees at the meeting</w:t>
            </w:r>
            <w:r>
              <w:rPr>
                <w:noProof/>
                <w:webHidden/>
              </w:rPr>
              <w:tab/>
            </w:r>
            <w:r>
              <w:rPr>
                <w:noProof/>
                <w:webHidden/>
              </w:rPr>
              <w:fldChar w:fldCharType="begin"/>
            </w:r>
            <w:r>
              <w:rPr>
                <w:noProof/>
                <w:webHidden/>
              </w:rPr>
              <w:instrText xml:space="preserve"> PAGEREF _Toc201230585 \h </w:instrText>
            </w:r>
            <w:r>
              <w:rPr>
                <w:noProof/>
                <w:webHidden/>
              </w:rPr>
            </w:r>
            <w:r>
              <w:rPr>
                <w:noProof/>
                <w:webHidden/>
              </w:rPr>
              <w:fldChar w:fldCharType="separate"/>
            </w:r>
            <w:r w:rsidR="00CF0C77">
              <w:rPr>
                <w:noProof/>
                <w:webHidden/>
              </w:rPr>
              <w:t>17</w:t>
            </w:r>
            <w:r>
              <w:rPr>
                <w:noProof/>
                <w:webHidden/>
              </w:rPr>
              <w:fldChar w:fldCharType="end"/>
            </w:r>
          </w:hyperlink>
        </w:p>
        <w:p w14:paraId="61A4EE68" w14:textId="06ACE984" w:rsidR="003E3FB5" w:rsidRPr="00E254D0" w:rsidRDefault="003E3FB5">
          <w:r w:rsidRPr="00E254D0">
            <w:rPr>
              <w:b/>
              <w:bCs/>
            </w:rPr>
            <w:fldChar w:fldCharType="end"/>
          </w:r>
        </w:p>
      </w:sdtContent>
    </w:sdt>
    <w:p w14:paraId="6F9BE020" w14:textId="77777777" w:rsidR="008A5BA7" w:rsidRPr="00E254D0" w:rsidRDefault="008A5BA7"/>
    <w:p w14:paraId="22B8FCFE" w14:textId="77777777" w:rsidR="003E3FB5" w:rsidRPr="00E254D0" w:rsidRDefault="003E3FB5"/>
    <w:p w14:paraId="62D2BC82" w14:textId="4996C1CF" w:rsidR="003E3FB5" w:rsidRPr="00E254D0" w:rsidRDefault="003E3FB5">
      <w:pPr>
        <w:widowControl/>
        <w:spacing w:after="160" w:line="278" w:lineRule="auto"/>
      </w:pPr>
      <w:r w:rsidRPr="00E254D0">
        <w:br w:type="page"/>
      </w:r>
    </w:p>
    <w:p w14:paraId="37960255" w14:textId="6977E00A" w:rsidR="003E3FB5" w:rsidRPr="00E254D0" w:rsidRDefault="00C11C88" w:rsidP="00C11C88">
      <w:pPr>
        <w:pStyle w:val="Heading2"/>
        <w:numPr>
          <w:ilvl w:val="0"/>
          <w:numId w:val="2"/>
        </w:numPr>
      </w:pPr>
      <w:bookmarkStart w:id="1" w:name="_Toc201230567"/>
      <w:r w:rsidRPr="00E254D0">
        <w:lastRenderedPageBreak/>
        <w:t>Background</w:t>
      </w:r>
      <w:bookmarkEnd w:id="1"/>
    </w:p>
    <w:p w14:paraId="1ACA809C" w14:textId="66612149" w:rsidR="00C11C88" w:rsidRPr="008964F7" w:rsidRDefault="00C15D37" w:rsidP="00C11C88">
      <w:pPr>
        <w:rPr>
          <w:sz w:val="24"/>
          <w:szCs w:val="24"/>
        </w:rPr>
      </w:pPr>
      <w:r w:rsidRPr="008964F7">
        <w:rPr>
          <w:sz w:val="24"/>
          <w:szCs w:val="24"/>
        </w:rPr>
        <w:t>The delivery of the Three Shifts</w:t>
      </w:r>
      <w:r w:rsidR="003F1005" w:rsidRPr="008964F7">
        <w:rPr>
          <w:sz w:val="24"/>
          <w:szCs w:val="24"/>
        </w:rPr>
        <w:t xml:space="preserve"> </w:t>
      </w:r>
      <w:r w:rsidR="00CD0360" w:rsidRPr="008964F7">
        <w:rPr>
          <w:rStyle w:val="FootnoteReference"/>
          <w:sz w:val="24"/>
          <w:szCs w:val="24"/>
        </w:rPr>
        <w:footnoteReference w:id="1"/>
      </w:r>
      <w:r w:rsidR="00992E61" w:rsidRPr="008964F7">
        <w:rPr>
          <w:sz w:val="24"/>
          <w:szCs w:val="24"/>
        </w:rPr>
        <w:t xml:space="preserve">, Hospital to Community, Treatment to Prevention and </w:t>
      </w:r>
      <w:r w:rsidR="008173D5" w:rsidRPr="008964F7">
        <w:rPr>
          <w:sz w:val="24"/>
          <w:szCs w:val="24"/>
        </w:rPr>
        <w:t>Analogue</w:t>
      </w:r>
      <w:r w:rsidR="00992E61" w:rsidRPr="008964F7">
        <w:rPr>
          <w:sz w:val="24"/>
          <w:szCs w:val="24"/>
        </w:rPr>
        <w:t xml:space="preserve"> to Digital</w:t>
      </w:r>
      <w:r w:rsidR="00C9638E" w:rsidRPr="008964F7">
        <w:rPr>
          <w:sz w:val="24"/>
          <w:szCs w:val="24"/>
        </w:rPr>
        <w:t>, represents a transformative agenda for health and care systems across England. However, i</w:t>
      </w:r>
      <w:r w:rsidR="003557FC">
        <w:rPr>
          <w:sz w:val="24"/>
          <w:szCs w:val="24"/>
        </w:rPr>
        <w:t>t</w:t>
      </w:r>
      <w:r w:rsidR="00C9638E" w:rsidRPr="008964F7">
        <w:rPr>
          <w:sz w:val="24"/>
          <w:szCs w:val="24"/>
        </w:rPr>
        <w:t xml:space="preserve">s successful implementation </w:t>
      </w:r>
      <w:r w:rsidR="008909D0" w:rsidRPr="008964F7">
        <w:rPr>
          <w:sz w:val="24"/>
          <w:szCs w:val="24"/>
        </w:rPr>
        <w:t>of the</w:t>
      </w:r>
      <w:r w:rsidR="00482718" w:rsidRPr="008964F7">
        <w:rPr>
          <w:sz w:val="24"/>
          <w:szCs w:val="24"/>
        </w:rPr>
        <w:t>se shifts is significantly influenced by geography</w:t>
      </w:r>
      <w:r w:rsidR="001461BC" w:rsidRPr="008964F7">
        <w:rPr>
          <w:sz w:val="24"/>
          <w:szCs w:val="24"/>
        </w:rPr>
        <w:t xml:space="preserve">, particularly in coastal communities where structural, demographic, and environmental factors create unique challenges and opportunities. </w:t>
      </w:r>
    </w:p>
    <w:p w14:paraId="29672EB1" w14:textId="60B658AF" w:rsidR="00EA67A7" w:rsidRPr="008964F7" w:rsidRDefault="00EA67A7" w:rsidP="00EA67A7">
      <w:pPr>
        <w:rPr>
          <w:sz w:val="24"/>
          <w:szCs w:val="24"/>
        </w:rPr>
      </w:pPr>
      <w:r w:rsidRPr="008964F7">
        <w:rPr>
          <w:sz w:val="24"/>
          <w:szCs w:val="24"/>
        </w:rPr>
        <w:t>Coastal areas in the South West of England, such as Cornwall, North Devon, and Torbay, exemplify the geographic complexities that shape health outcomes and service delivery. These regions are often characterised by dispersed populations, limited transport infrastructure, and</w:t>
      </w:r>
      <w:r w:rsidR="00481465">
        <w:rPr>
          <w:sz w:val="24"/>
          <w:szCs w:val="24"/>
        </w:rPr>
        <w:t xml:space="preserve"> they have</w:t>
      </w:r>
      <w:r w:rsidRPr="008964F7">
        <w:rPr>
          <w:sz w:val="24"/>
          <w:szCs w:val="24"/>
        </w:rPr>
        <w:t xml:space="preserve"> a higher proportion of older residents</w:t>
      </w:r>
      <w:r w:rsidR="003F1005" w:rsidRPr="008964F7">
        <w:rPr>
          <w:sz w:val="24"/>
          <w:szCs w:val="24"/>
        </w:rPr>
        <w:t xml:space="preserve"> </w:t>
      </w:r>
      <w:r w:rsidR="008F3B9E" w:rsidRPr="008964F7">
        <w:rPr>
          <w:rStyle w:val="FootnoteReference"/>
          <w:sz w:val="24"/>
          <w:szCs w:val="24"/>
        </w:rPr>
        <w:footnoteReference w:id="2"/>
      </w:r>
      <w:r w:rsidR="003F1005" w:rsidRPr="008964F7">
        <w:rPr>
          <w:sz w:val="24"/>
          <w:szCs w:val="24"/>
        </w:rPr>
        <w:t>.</w:t>
      </w:r>
      <w:r w:rsidR="008F3B9E" w:rsidRPr="008964F7">
        <w:rPr>
          <w:sz w:val="24"/>
          <w:szCs w:val="24"/>
        </w:rPr>
        <w:t xml:space="preserve"> </w:t>
      </w:r>
      <w:r w:rsidRPr="008964F7">
        <w:rPr>
          <w:sz w:val="24"/>
          <w:szCs w:val="24"/>
        </w:rPr>
        <w:t xml:space="preserve">Such factors hinder access to centralised healthcare services and increase reliance on localised, community-based care. For example, long travel distances to hospitals and sparse public transport networks make the shift from hospital to community care both </w:t>
      </w:r>
      <w:r w:rsidR="00FC1E6C" w:rsidRPr="008964F7">
        <w:rPr>
          <w:sz w:val="24"/>
          <w:szCs w:val="24"/>
        </w:rPr>
        <w:t>essential</w:t>
      </w:r>
      <w:r w:rsidR="00FC1E6C">
        <w:rPr>
          <w:sz w:val="24"/>
          <w:szCs w:val="24"/>
        </w:rPr>
        <w:t xml:space="preserve"> yet</w:t>
      </w:r>
      <w:r w:rsidR="00FA0192">
        <w:rPr>
          <w:sz w:val="24"/>
          <w:szCs w:val="24"/>
        </w:rPr>
        <w:t xml:space="preserve"> </w:t>
      </w:r>
      <w:r w:rsidRPr="008964F7">
        <w:rPr>
          <w:sz w:val="24"/>
          <w:szCs w:val="24"/>
        </w:rPr>
        <w:t>logistically demanding</w:t>
      </w:r>
      <w:r w:rsidR="003F1005" w:rsidRPr="008964F7">
        <w:rPr>
          <w:sz w:val="24"/>
          <w:szCs w:val="24"/>
        </w:rPr>
        <w:t xml:space="preserve"> </w:t>
      </w:r>
      <w:r w:rsidR="00D74A50" w:rsidRPr="008964F7">
        <w:rPr>
          <w:rStyle w:val="FootnoteReference"/>
          <w:sz w:val="24"/>
          <w:szCs w:val="24"/>
        </w:rPr>
        <w:footnoteReference w:id="3"/>
      </w:r>
      <w:r w:rsidR="003F1005" w:rsidRPr="008964F7">
        <w:rPr>
          <w:sz w:val="24"/>
          <w:szCs w:val="24"/>
        </w:rPr>
        <w:t>.</w:t>
      </w:r>
      <w:r w:rsidRPr="008964F7">
        <w:rPr>
          <w:sz w:val="24"/>
          <w:szCs w:val="24"/>
        </w:rPr>
        <w:t xml:space="preserve"> In these settings, mobile health units, community paramedicine, and telehealth services become critical enablers of equitable care delivery.</w:t>
      </w:r>
    </w:p>
    <w:p w14:paraId="7677044E" w14:textId="625E9D86" w:rsidR="00EA67A7" w:rsidRPr="008964F7" w:rsidRDefault="00EA67A7" w:rsidP="00EA67A7">
      <w:pPr>
        <w:rPr>
          <w:sz w:val="24"/>
          <w:szCs w:val="24"/>
        </w:rPr>
      </w:pPr>
      <w:r w:rsidRPr="008964F7">
        <w:rPr>
          <w:sz w:val="24"/>
          <w:szCs w:val="24"/>
        </w:rPr>
        <w:t>The shift from treatment to prevention is similarly shaped by place. Coastal communities often experience higher levels of deprivation, seasonal employment, and housing-related health risks such as damp and poor insulation</w:t>
      </w:r>
      <w:r w:rsidR="006D0039">
        <w:rPr>
          <w:rStyle w:val="FootnoteReference"/>
          <w:sz w:val="24"/>
          <w:szCs w:val="24"/>
        </w:rPr>
        <w:footnoteReference w:id="4"/>
      </w:r>
      <w:r w:rsidR="00B56758">
        <w:rPr>
          <w:sz w:val="24"/>
          <w:szCs w:val="24"/>
        </w:rPr>
        <w:t xml:space="preserve">. </w:t>
      </w:r>
      <w:r w:rsidRPr="008964F7">
        <w:rPr>
          <w:sz w:val="24"/>
          <w:szCs w:val="24"/>
        </w:rPr>
        <w:t>These conditions contribute to elevated rates of chronic illness, including cardiovascular disease, respiratory conditions, and mental health disorders. Preventative strategies in these areas must therefore be tailored to local realities</w:t>
      </w:r>
      <w:r w:rsidR="00CD5B6E" w:rsidRPr="008964F7">
        <w:rPr>
          <w:sz w:val="24"/>
          <w:szCs w:val="24"/>
        </w:rPr>
        <w:t xml:space="preserve">, by </w:t>
      </w:r>
      <w:r w:rsidRPr="008964F7">
        <w:rPr>
          <w:sz w:val="24"/>
          <w:szCs w:val="24"/>
        </w:rPr>
        <w:t>addressing not only clinical risk factors but also the social determinants of health. Community navigators, social prescribing, and place-based public health interventions have shown particular promise in these contexts.</w:t>
      </w:r>
    </w:p>
    <w:p w14:paraId="4EED1387" w14:textId="52239C7F" w:rsidR="00EA67A7" w:rsidRPr="008964F7" w:rsidRDefault="00EA67A7" w:rsidP="00EA67A7">
      <w:pPr>
        <w:rPr>
          <w:sz w:val="24"/>
          <w:szCs w:val="24"/>
        </w:rPr>
      </w:pPr>
      <w:r w:rsidRPr="008964F7">
        <w:rPr>
          <w:sz w:val="24"/>
          <w:szCs w:val="24"/>
        </w:rPr>
        <w:t>The third shift</w:t>
      </w:r>
      <w:r w:rsidR="008B63B6" w:rsidRPr="008964F7">
        <w:rPr>
          <w:sz w:val="24"/>
          <w:szCs w:val="24"/>
        </w:rPr>
        <w:t xml:space="preserve"> (</w:t>
      </w:r>
      <w:r w:rsidRPr="008964F7">
        <w:rPr>
          <w:sz w:val="24"/>
          <w:szCs w:val="24"/>
        </w:rPr>
        <w:t>from analogue to digital</w:t>
      </w:r>
      <w:r w:rsidR="008B63B6" w:rsidRPr="008964F7">
        <w:rPr>
          <w:sz w:val="24"/>
          <w:szCs w:val="24"/>
        </w:rPr>
        <w:t xml:space="preserve">) </w:t>
      </w:r>
      <w:r w:rsidRPr="008964F7">
        <w:rPr>
          <w:sz w:val="24"/>
          <w:szCs w:val="24"/>
        </w:rPr>
        <w:t>presents both a challenge and an opportunity. Many coastal communities suffer from digital exclusion due to poor broadband infrastructure, low digital literacy, and limited access to devices. This digital divide disproportionately affects older adults and those in deprived areas, limiting the uptake of remote consultations, health apps</w:t>
      </w:r>
      <w:r w:rsidR="000B1684" w:rsidRPr="008964F7">
        <w:rPr>
          <w:sz w:val="24"/>
          <w:szCs w:val="24"/>
        </w:rPr>
        <w:t>, including the NHS App</w:t>
      </w:r>
      <w:r w:rsidRPr="008964F7">
        <w:rPr>
          <w:sz w:val="24"/>
          <w:szCs w:val="24"/>
        </w:rPr>
        <w:t xml:space="preserve">, and </w:t>
      </w:r>
      <w:r w:rsidR="003630F6">
        <w:rPr>
          <w:sz w:val="24"/>
          <w:szCs w:val="24"/>
        </w:rPr>
        <w:t xml:space="preserve">accessing </w:t>
      </w:r>
      <w:r w:rsidRPr="008964F7">
        <w:rPr>
          <w:sz w:val="24"/>
          <w:szCs w:val="24"/>
        </w:rPr>
        <w:t>online health information. Bridging this gap requires investment not only in infrastructure but also in digital inclusion initiatives</w:t>
      </w:r>
      <w:r w:rsidR="000D3C10" w:rsidRPr="008964F7">
        <w:rPr>
          <w:sz w:val="24"/>
          <w:szCs w:val="24"/>
        </w:rPr>
        <w:t xml:space="preserve">, for example, </w:t>
      </w:r>
      <w:r w:rsidRPr="008964F7">
        <w:rPr>
          <w:sz w:val="24"/>
          <w:szCs w:val="24"/>
        </w:rPr>
        <w:t xml:space="preserve">training, community access points, and hybrid service models that blend digital </w:t>
      </w:r>
      <w:r w:rsidR="007C4142">
        <w:rPr>
          <w:sz w:val="24"/>
          <w:szCs w:val="24"/>
        </w:rPr>
        <w:t>and</w:t>
      </w:r>
      <w:r w:rsidRPr="008964F7">
        <w:rPr>
          <w:sz w:val="24"/>
          <w:szCs w:val="24"/>
        </w:rPr>
        <w:t xml:space="preserve"> face-to-face care</w:t>
      </w:r>
      <w:r w:rsidR="007F1162" w:rsidRPr="008964F7">
        <w:rPr>
          <w:sz w:val="24"/>
          <w:szCs w:val="24"/>
        </w:rPr>
        <w:t xml:space="preserve"> </w:t>
      </w:r>
      <w:r w:rsidR="004F67D5" w:rsidRPr="008964F7">
        <w:rPr>
          <w:rStyle w:val="FootnoteReference"/>
          <w:sz w:val="24"/>
          <w:szCs w:val="24"/>
        </w:rPr>
        <w:footnoteReference w:id="5"/>
      </w:r>
      <w:r w:rsidR="007F1162" w:rsidRPr="008964F7">
        <w:rPr>
          <w:sz w:val="24"/>
          <w:szCs w:val="24"/>
        </w:rPr>
        <w:t>.</w:t>
      </w:r>
    </w:p>
    <w:p w14:paraId="78131129" w14:textId="15575AF8" w:rsidR="00EA67A7" w:rsidRPr="008964F7" w:rsidRDefault="00EA67A7" w:rsidP="00EA67A7">
      <w:pPr>
        <w:rPr>
          <w:sz w:val="24"/>
          <w:szCs w:val="24"/>
        </w:rPr>
      </w:pPr>
      <w:r w:rsidRPr="008964F7">
        <w:rPr>
          <w:sz w:val="24"/>
          <w:szCs w:val="24"/>
        </w:rPr>
        <w:t xml:space="preserve">Research from the University of Exeter and Cornwall Council Public Health has further highlighted how these geographic factors intersect with occupational and cultural dimensions, particularly in fishing communities. </w:t>
      </w:r>
      <w:r w:rsidR="00ED5638">
        <w:rPr>
          <w:sz w:val="24"/>
          <w:szCs w:val="24"/>
        </w:rPr>
        <w:t>Workers</w:t>
      </w:r>
      <w:r w:rsidRPr="008964F7">
        <w:rPr>
          <w:sz w:val="24"/>
          <w:szCs w:val="24"/>
        </w:rPr>
        <w:t xml:space="preserve"> face high levels of occupational risk, irregular working patterns, and cultural norms that discourage </w:t>
      </w:r>
      <w:r w:rsidR="009C6931">
        <w:rPr>
          <w:sz w:val="24"/>
          <w:szCs w:val="24"/>
        </w:rPr>
        <w:t>“</w:t>
      </w:r>
      <w:r w:rsidR="00B652B8" w:rsidRPr="008964F7">
        <w:rPr>
          <w:sz w:val="24"/>
          <w:szCs w:val="24"/>
        </w:rPr>
        <w:t>seeking help</w:t>
      </w:r>
      <w:r w:rsidR="00E73E9D">
        <w:rPr>
          <w:sz w:val="24"/>
          <w:szCs w:val="24"/>
        </w:rPr>
        <w:t>.”</w:t>
      </w:r>
      <w:r w:rsidRPr="008964F7">
        <w:rPr>
          <w:sz w:val="24"/>
          <w:szCs w:val="24"/>
        </w:rPr>
        <w:t xml:space="preserve"> These factors complicate access to healthcare and reduce engagement with preventative services. The introduction of mandatory medical certification has added a new layer of complexity, with some avoiding healthcare altogether for fear of jeopardising their livelihoods.</w:t>
      </w:r>
    </w:p>
    <w:p w14:paraId="0E863A0C" w14:textId="3EE0D739" w:rsidR="00EA67A7" w:rsidRPr="008964F7" w:rsidRDefault="00EA67A7" w:rsidP="00EA67A7">
      <w:pPr>
        <w:rPr>
          <w:sz w:val="24"/>
          <w:szCs w:val="24"/>
        </w:rPr>
      </w:pPr>
      <w:r w:rsidRPr="008964F7">
        <w:rPr>
          <w:sz w:val="24"/>
          <w:szCs w:val="24"/>
        </w:rPr>
        <w:t xml:space="preserve">Despite these challenges, coastal communities are also fertile ground for innovation. Their strong </w:t>
      </w:r>
      <w:r w:rsidRPr="008964F7">
        <w:rPr>
          <w:sz w:val="24"/>
          <w:szCs w:val="24"/>
        </w:rPr>
        <w:lastRenderedPageBreak/>
        <w:t>social networks, local knowledge, and history of resilience make them ideal testbeds for integrated, community-led models of care. Initiatives such as the Coastal Navigators Network</w:t>
      </w:r>
      <w:r w:rsidR="007F1162" w:rsidRPr="008964F7">
        <w:rPr>
          <w:sz w:val="24"/>
          <w:szCs w:val="24"/>
        </w:rPr>
        <w:t xml:space="preserve"> </w:t>
      </w:r>
      <w:r w:rsidR="00570A77" w:rsidRPr="008964F7">
        <w:rPr>
          <w:rStyle w:val="FootnoteReference"/>
          <w:sz w:val="24"/>
          <w:szCs w:val="24"/>
        </w:rPr>
        <w:footnoteReference w:id="6"/>
      </w:r>
      <w:r w:rsidR="00570A77" w:rsidRPr="008964F7">
        <w:rPr>
          <w:sz w:val="24"/>
          <w:szCs w:val="24"/>
        </w:rPr>
        <w:t xml:space="preserve"> </w:t>
      </w:r>
      <w:r w:rsidRPr="008964F7">
        <w:rPr>
          <w:sz w:val="24"/>
          <w:szCs w:val="24"/>
        </w:rPr>
        <w:t>and the Peninsula Research and Innovation Partnership</w:t>
      </w:r>
      <w:r w:rsidR="007F1162" w:rsidRPr="008964F7">
        <w:rPr>
          <w:sz w:val="24"/>
          <w:szCs w:val="24"/>
        </w:rPr>
        <w:t xml:space="preserve"> </w:t>
      </w:r>
      <w:r w:rsidR="00D704FD" w:rsidRPr="008964F7">
        <w:rPr>
          <w:rStyle w:val="FootnoteReference"/>
          <w:sz w:val="24"/>
          <w:szCs w:val="24"/>
        </w:rPr>
        <w:footnoteReference w:id="7"/>
      </w:r>
      <w:r w:rsidRPr="008964F7">
        <w:rPr>
          <w:sz w:val="24"/>
          <w:szCs w:val="24"/>
        </w:rPr>
        <w:t xml:space="preserve"> are already demonstrating how place-based approaches can drive meaningful change.</w:t>
      </w:r>
    </w:p>
    <w:p w14:paraId="40C94F09" w14:textId="6DC085DD" w:rsidR="00072874" w:rsidRPr="00E83C4E" w:rsidRDefault="00A12338" w:rsidP="00AD46D4">
      <w:pPr>
        <w:pStyle w:val="Heading2"/>
        <w:numPr>
          <w:ilvl w:val="1"/>
          <w:numId w:val="2"/>
        </w:numPr>
        <w:rPr>
          <w:sz w:val="24"/>
          <w:szCs w:val="24"/>
        </w:rPr>
      </w:pPr>
      <w:bookmarkStart w:id="2" w:name="_Toc201230568"/>
      <w:r w:rsidRPr="00E83C4E">
        <w:rPr>
          <w:sz w:val="24"/>
          <w:szCs w:val="24"/>
        </w:rPr>
        <w:t xml:space="preserve">Chief Medical Officer’s Annual Report 2021: </w:t>
      </w:r>
      <w:r w:rsidR="007202BD" w:rsidRPr="00E83C4E">
        <w:rPr>
          <w:sz w:val="24"/>
          <w:szCs w:val="24"/>
        </w:rPr>
        <w:t>Health in Coastal Communities</w:t>
      </w:r>
      <w:bookmarkEnd w:id="2"/>
      <w:r w:rsidR="007202BD" w:rsidRPr="00E83C4E">
        <w:rPr>
          <w:sz w:val="24"/>
          <w:szCs w:val="24"/>
        </w:rPr>
        <w:t xml:space="preserve"> </w:t>
      </w:r>
    </w:p>
    <w:p w14:paraId="33BCE217" w14:textId="4FD52769" w:rsidR="00A12338" w:rsidRPr="008964F7" w:rsidRDefault="0027705C" w:rsidP="00A12338">
      <w:pPr>
        <w:rPr>
          <w:sz w:val="24"/>
          <w:szCs w:val="24"/>
        </w:rPr>
      </w:pPr>
      <w:r w:rsidRPr="008964F7">
        <w:rPr>
          <w:sz w:val="24"/>
          <w:szCs w:val="24"/>
        </w:rPr>
        <w:t xml:space="preserve">Research comparing coastal and non-coastal areas that contributed to the </w:t>
      </w:r>
      <w:r w:rsidR="00A73DCB" w:rsidRPr="008964F7">
        <w:rPr>
          <w:sz w:val="24"/>
          <w:szCs w:val="24"/>
        </w:rPr>
        <w:t xml:space="preserve">Chief Medical Officer’s </w:t>
      </w:r>
      <w:r w:rsidR="007F44EC" w:rsidRPr="008964F7">
        <w:rPr>
          <w:sz w:val="24"/>
          <w:szCs w:val="24"/>
        </w:rPr>
        <w:t xml:space="preserve"> (CMOs) </w:t>
      </w:r>
      <w:r w:rsidR="00A73DCB" w:rsidRPr="008964F7">
        <w:rPr>
          <w:sz w:val="24"/>
          <w:szCs w:val="24"/>
        </w:rPr>
        <w:t>Annual Report in 2021 highlighted several significant health and socioeconomic</w:t>
      </w:r>
      <w:r w:rsidR="006D74C8" w:rsidRPr="008964F7">
        <w:rPr>
          <w:sz w:val="24"/>
          <w:szCs w:val="24"/>
        </w:rPr>
        <w:t xml:space="preserve"> disparities affecting coastal communities. </w:t>
      </w:r>
    </w:p>
    <w:p w14:paraId="6981A6F4" w14:textId="45E58500" w:rsidR="006D74C8" w:rsidRPr="008964F7" w:rsidRDefault="006D74C8" w:rsidP="006D74C8">
      <w:pPr>
        <w:pStyle w:val="ListParagraph"/>
        <w:numPr>
          <w:ilvl w:val="0"/>
          <w:numId w:val="4"/>
        </w:numPr>
        <w:rPr>
          <w:sz w:val="24"/>
          <w:szCs w:val="24"/>
        </w:rPr>
      </w:pPr>
      <w:r w:rsidRPr="008964F7">
        <w:rPr>
          <w:sz w:val="24"/>
          <w:szCs w:val="24"/>
        </w:rPr>
        <w:t xml:space="preserve">Coastal areas </w:t>
      </w:r>
      <w:r w:rsidR="00AE49DD" w:rsidRPr="008964F7">
        <w:rPr>
          <w:sz w:val="24"/>
          <w:szCs w:val="24"/>
        </w:rPr>
        <w:t xml:space="preserve">have a higher </w:t>
      </w:r>
      <w:r w:rsidR="000402C4" w:rsidRPr="008964F7">
        <w:rPr>
          <w:sz w:val="24"/>
          <w:szCs w:val="24"/>
        </w:rPr>
        <w:t>burden</w:t>
      </w:r>
      <w:r w:rsidR="00AE49DD" w:rsidRPr="008964F7">
        <w:rPr>
          <w:sz w:val="24"/>
          <w:szCs w:val="24"/>
        </w:rPr>
        <w:t xml:space="preserve"> of diabetes, hea</w:t>
      </w:r>
      <w:r w:rsidR="00B8477B" w:rsidRPr="008964F7">
        <w:rPr>
          <w:sz w:val="24"/>
          <w:szCs w:val="24"/>
        </w:rPr>
        <w:t>rt disease, cancer, mental health issues and chronic</w:t>
      </w:r>
      <w:r w:rsidR="007953C3" w:rsidRPr="008964F7">
        <w:rPr>
          <w:sz w:val="24"/>
          <w:szCs w:val="24"/>
        </w:rPr>
        <w:t xml:space="preserve"> </w:t>
      </w:r>
      <w:r w:rsidR="00B8477B" w:rsidRPr="008964F7">
        <w:rPr>
          <w:sz w:val="24"/>
          <w:szCs w:val="24"/>
        </w:rPr>
        <w:t>obstructive pulmonary disease (COPD)</w:t>
      </w:r>
      <w:r w:rsidR="00E73E9D" w:rsidRPr="008964F7">
        <w:rPr>
          <w:sz w:val="24"/>
          <w:szCs w:val="24"/>
        </w:rPr>
        <w:t xml:space="preserve">. </w:t>
      </w:r>
      <w:r w:rsidR="00376E99" w:rsidRPr="008964F7">
        <w:rPr>
          <w:sz w:val="24"/>
          <w:szCs w:val="24"/>
        </w:rPr>
        <w:t xml:space="preserve">The primary contributors of this are age and deprivation, however </w:t>
      </w:r>
      <w:r w:rsidR="007771F4" w:rsidRPr="008964F7">
        <w:rPr>
          <w:sz w:val="24"/>
          <w:szCs w:val="24"/>
        </w:rPr>
        <w:t xml:space="preserve">the variations in health service standards, </w:t>
      </w:r>
      <w:r w:rsidR="004E781E" w:rsidRPr="008964F7">
        <w:rPr>
          <w:sz w:val="24"/>
          <w:szCs w:val="24"/>
        </w:rPr>
        <w:t>indicators</w:t>
      </w:r>
      <w:r w:rsidR="007771F4" w:rsidRPr="008964F7">
        <w:rPr>
          <w:sz w:val="24"/>
          <w:szCs w:val="24"/>
        </w:rPr>
        <w:t xml:space="preserve"> and emergency admission are also thought to play a key role in this d</w:t>
      </w:r>
      <w:r w:rsidR="004E781E" w:rsidRPr="008964F7">
        <w:rPr>
          <w:sz w:val="24"/>
          <w:szCs w:val="24"/>
        </w:rPr>
        <w:t xml:space="preserve">isparity. </w:t>
      </w:r>
    </w:p>
    <w:p w14:paraId="79B7BEC3" w14:textId="77777777" w:rsidR="00BB6513" w:rsidRPr="008964F7" w:rsidRDefault="00BB6513" w:rsidP="00BB6513">
      <w:pPr>
        <w:pStyle w:val="ListParagraph"/>
        <w:rPr>
          <w:sz w:val="24"/>
          <w:szCs w:val="24"/>
        </w:rPr>
      </w:pPr>
    </w:p>
    <w:p w14:paraId="7C8C2E5C" w14:textId="77777777" w:rsidR="00BB6513" w:rsidRPr="008964F7" w:rsidRDefault="00BB6513" w:rsidP="00BB6513">
      <w:pPr>
        <w:pStyle w:val="ListParagraph"/>
        <w:numPr>
          <w:ilvl w:val="0"/>
          <w:numId w:val="4"/>
        </w:numPr>
        <w:rPr>
          <w:sz w:val="24"/>
          <w:szCs w:val="24"/>
        </w:rPr>
      </w:pPr>
    </w:p>
    <w:p w14:paraId="0C5167A8" w14:textId="77777777" w:rsidR="00BB6513" w:rsidRPr="008964F7" w:rsidRDefault="00BB6513" w:rsidP="00BB6513">
      <w:pPr>
        <w:pStyle w:val="ListParagraph"/>
        <w:jc w:val="center"/>
        <w:rPr>
          <w:sz w:val="24"/>
          <w:szCs w:val="24"/>
        </w:rPr>
      </w:pPr>
      <w:r w:rsidRPr="008964F7">
        <w:rPr>
          <w:noProof/>
          <w:sz w:val="24"/>
          <w:szCs w:val="24"/>
        </w:rPr>
        <w:drawing>
          <wp:inline distT="0" distB="0" distL="0" distR="0" wp14:anchorId="37FDDF66" wp14:editId="21702752">
            <wp:extent cx="5086350" cy="2353310"/>
            <wp:effectExtent l="0" t="0" r="0" b="8890"/>
            <wp:docPr id="1656610675" name="Picture 1" descr="Life expectancy: Difference between average MSOA-level SMRs in coastal and&#10;non-coastal areas as a percentage of average SMR for non-coastal MS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expectancy: Difference between average MSOA-level SMRs in coastal and&#10;non-coastal areas as a percentage of average SMR for non-coastal MSO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2353310"/>
                    </a:xfrm>
                    <a:prstGeom prst="rect">
                      <a:avLst/>
                    </a:prstGeom>
                    <a:noFill/>
                    <a:ln>
                      <a:noFill/>
                    </a:ln>
                  </pic:spPr>
                </pic:pic>
              </a:graphicData>
            </a:graphic>
          </wp:inline>
        </w:drawing>
      </w:r>
      <w:r w:rsidRPr="008964F7">
        <w:rPr>
          <w:sz w:val="24"/>
          <w:szCs w:val="24"/>
        </w:rPr>
        <w:br/>
        <w:t>Figure 1. Coastal SMRs relative to non-coastal - University of Plymouth©</w:t>
      </w:r>
    </w:p>
    <w:p w14:paraId="634BFB64" w14:textId="071F384F" w:rsidR="00601506" w:rsidRPr="008964F7" w:rsidRDefault="00BB6513" w:rsidP="00BB6513">
      <w:pPr>
        <w:pStyle w:val="ListParagraph"/>
        <w:rPr>
          <w:sz w:val="24"/>
          <w:szCs w:val="24"/>
        </w:rPr>
      </w:pPr>
      <w:r w:rsidRPr="008964F7">
        <w:rPr>
          <w:sz w:val="24"/>
          <w:szCs w:val="24"/>
        </w:rPr>
        <w:br/>
      </w:r>
      <w:r w:rsidR="004E781E" w:rsidRPr="008964F7">
        <w:rPr>
          <w:sz w:val="24"/>
          <w:szCs w:val="24"/>
        </w:rPr>
        <w:t xml:space="preserve">The report also highlighted that </w:t>
      </w:r>
      <w:r w:rsidR="001769D4" w:rsidRPr="008964F7">
        <w:rPr>
          <w:sz w:val="24"/>
          <w:szCs w:val="24"/>
        </w:rPr>
        <w:t>life expectancy is significantly lower in coasta</w:t>
      </w:r>
      <w:r w:rsidR="00C902E8" w:rsidRPr="008964F7">
        <w:rPr>
          <w:sz w:val="24"/>
          <w:szCs w:val="24"/>
        </w:rPr>
        <w:t>l</w:t>
      </w:r>
      <w:r w:rsidR="001769D4" w:rsidRPr="008964F7">
        <w:rPr>
          <w:sz w:val="24"/>
          <w:szCs w:val="24"/>
        </w:rPr>
        <w:t xml:space="preserve"> areas compared to non-coastal </w:t>
      </w:r>
      <w:r w:rsidR="008F2069" w:rsidRPr="008964F7">
        <w:rPr>
          <w:sz w:val="24"/>
          <w:szCs w:val="24"/>
        </w:rPr>
        <w:t>areas</w:t>
      </w:r>
      <w:r w:rsidR="001769D4" w:rsidRPr="008964F7">
        <w:rPr>
          <w:sz w:val="24"/>
          <w:szCs w:val="24"/>
        </w:rPr>
        <w:t>.</w:t>
      </w:r>
      <w:r w:rsidR="008F2069" w:rsidRPr="008964F7">
        <w:rPr>
          <w:sz w:val="24"/>
          <w:szCs w:val="24"/>
        </w:rPr>
        <w:t xml:space="preserve"> </w:t>
      </w:r>
      <w:r w:rsidR="0022186F" w:rsidRPr="008964F7">
        <w:rPr>
          <w:sz w:val="24"/>
          <w:szCs w:val="24"/>
        </w:rPr>
        <w:t xml:space="preserve">Mortality rates </w:t>
      </w:r>
      <w:r w:rsidR="00DD3008" w:rsidRPr="008964F7">
        <w:rPr>
          <w:sz w:val="24"/>
          <w:szCs w:val="24"/>
        </w:rPr>
        <w:t>when analysed</w:t>
      </w:r>
      <w:r w:rsidR="003D2AEE" w:rsidRPr="008964F7">
        <w:rPr>
          <w:sz w:val="24"/>
          <w:szCs w:val="24"/>
        </w:rPr>
        <w:t xml:space="preserve"> by Middle Layer </w:t>
      </w:r>
      <w:r w:rsidR="00464C30" w:rsidRPr="008964F7">
        <w:rPr>
          <w:sz w:val="24"/>
          <w:szCs w:val="24"/>
        </w:rPr>
        <w:t>Super</w:t>
      </w:r>
      <w:r w:rsidR="003D2AEE" w:rsidRPr="008964F7">
        <w:rPr>
          <w:sz w:val="24"/>
          <w:szCs w:val="24"/>
        </w:rPr>
        <w:t xml:space="preserve"> Output Area (MSOA)</w:t>
      </w:r>
      <w:r w:rsidR="00D30723" w:rsidRPr="008964F7">
        <w:rPr>
          <w:sz w:val="24"/>
          <w:szCs w:val="24"/>
        </w:rPr>
        <w:t xml:space="preserve"> indicate that</w:t>
      </w:r>
      <w:r w:rsidR="005248C6" w:rsidRPr="008964F7">
        <w:rPr>
          <w:sz w:val="24"/>
          <w:szCs w:val="24"/>
        </w:rPr>
        <w:t xml:space="preserve"> the average number of </w:t>
      </w:r>
      <w:r w:rsidR="00D30723" w:rsidRPr="008964F7">
        <w:rPr>
          <w:sz w:val="24"/>
          <w:szCs w:val="24"/>
        </w:rPr>
        <w:t>deaths from all causes</w:t>
      </w:r>
      <w:r w:rsidR="005248C6" w:rsidRPr="008964F7">
        <w:rPr>
          <w:sz w:val="24"/>
          <w:szCs w:val="24"/>
        </w:rPr>
        <w:t xml:space="preserve"> is</w:t>
      </w:r>
      <w:r w:rsidR="00D30723" w:rsidRPr="008964F7">
        <w:rPr>
          <w:sz w:val="24"/>
          <w:szCs w:val="24"/>
        </w:rPr>
        <w:t xml:space="preserve"> 8.8% higher in coastal regions </w:t>
      </w:r>
      <w:r w:rsidR="00315918" w:rsidRPr="008964F7">
        <w:rPr>
          <w:rStyle w:val="FootnoteReference"/>
          <w:sz w:val="24"/>
          <w:szCs w:val="24"/>
        </w:rPr>
        <w:footnoteReference w:id="8"/>
      </w:r>
      <w:r w:rsidR="00E73E9D" w:rsidRPr="008964F7">
        <w:rPr>
          <w:sz w:val="24"/>
          <w:szCs w:val="24"/>
        </w:rPr>
        <w:t xml:space="preserve">. </w:t>
      </w:r>
      <w:r w:rsidR="00E254D0" w:rsidRPr="008964F7">
        <w:rPr>
          <w:sz w:val="24"/>
          <w:szCs w:val="24"/>
        </w:rPr>
        <w:t>Furthermore, standardised</w:t>
      </w:r>
      <w:r w:rsidR="000F0812" w:rsidRPr="008964F7">
        <w:rPr>
          <w:sz w:val="24"/>
          <w:szCs w:val="24"/>
        </w:rPr>
        <w:t xml:space="preserve"> mortality rates (SMRs) are higher in coastal areas </w:t>
      </w:r>
      <w:r w:rsidR="00464C30" w:rsidRPr="008964F7">
        <w:rPr>
          <w:sz w:val="24"/>
          <w:szCs w:val="24"/>
        </w:rPr>
        <w:t xml:space="preserve">for cancer, stroke, respiratory disease, circulatory </w:t>
      </w:r>
      <w:r w:rsidR="0050407F" w:rsidRPr="008964F7">
        <w:rPr>
          <w:sz w:val="24"/>
          <w:szCs w:val="24"/>
        </w:rPr>
        <w:t>disease,</w:t>
      </w:r>
      <w:r w:rsidR="00464C30" w:rsidRPr="008964F7">
        <w:rPr>
          <w:sz w:val="24"/>
          <w:szCs w:val="24"/>
        </w:rPr>
        <w:t xml:space="preserve"> and preventable disease</w:t>
      </w:r>
      <w:r w:rsidR="00975DEC" w:rsidRPr="008964F7">
        <w:rPr>
          <w:sz w:val="24"/>
          <w:szCs w:val="24"/>
        </w:rPr>
        <w:t>s</w:t>
      </w:r>
      <w:r w:rsidR="00A22494" w:rsidRPr="008964F7">
        <w:rPr>
          <w:sz w:val="24"/>
          <w:szCs w:val="24"/>
        </w:rPr>
        <w:t xml:space="preserve"> -</w:t>
      </w:r>
      <w:r w:rsidR="00975DEC" w:rsidRPr="008964F7">
        <w:rPr>
          <w:sz w:val="24"/>
          <w:szCs w:val="24"/>
        </w:rPr>
        <w:t xml:space="preserve"> a category that </w:t>
      </w:r>
      <w:r w:rsidR="00F0583E" w:rsidRPr="008964F7">
        <w:rPr>
          <w:sz w:val="24"/>
          <w:szCs w:val="24"/>
        </w:rPr>
        <w:t xml:space="preserve">the University of Plymouth </w:t>
      </w:r>
      <w:r w:rsidR="00975DEC" w:rsidRPr="008964F7">
        <w:rPr>
          <w:sz w:val="24"/>
          <w:szCs w:val="24"/>
        </w:rPr>
        <w:t>define</w:t>
      </w:r>
      <w:r w:rsidR="00F0583E" w:rsidRPr="008964F7">
        <w:rPr>
          <w:sz w:val="24"/>
          <w:szCs w:val="24"/>
        </w:rPr>
        <w:t>d as “</w:t>
      </w:r>
      <w:r w:rsidR="00F0583E" w:rsidRPr="008964F7">
        <w:rPr>
          <w:i/>
          <w:iCs/>
          <w:sz w:val="24"/>
          <w:szCs w:val="24"/>
        </w:rPr>
        <w:t>causes where all or most deaths could potentially be prevented by public health interventions in the broadest sense</w:t>
      </w:r>
      <w:r w:rsidR="00601506" w:rsidRPr="008964F7">
        <w:rPr>
          <w:sz w:val="24"/>
          <w:szCs w:val="24"/>
        </w:rPr>
        <w:t>”</w:t>
      </w:r>
      <w:r w:rsidR="00E254D0" w:rsidRPr="008964F7">
        <w:rPr>
          <w:sz w:val="24"/>
          <w:szCs w:val="24"/>
        </w:rPr>
        <w:t xml:space="preserve"> </w:t>
      </w:r>
      <w:r w:rsidR="00601506" w:rsidRPr="008964F7">
        <w:rPr>
          <w:rStyle w:val="FootnoteReference"/>
          <w:sz w:val="24"/>
          <w:szCs w:val="24"/>
        </w:rPr>
        <w:footnoteReference w:id="9"/>
      </w:r>
      <w:r w:rsidR="00E254D0" w:rsidRPr="008964F7">
        <w:rPr>
          <w:sz w:val="24"/>
          <w:szCs w:val="24"/>
        </w:rPr>
        <w:t>.</w:t>
      </w:r>
    </w:p>
    <w:p w14:paraId="3A9FC24F" w14:textId="6D639978" w:rsidR="00A22494" w:rsidRPr="008964F7" w:rsidRDefault="00A22494" w:rsidP="00BB6513">
      <w:pPr>
        <w:pStyle w:val="ListParagraph"/>
        <w:rPr>
          <w:sz w:val="24"/>
          <w:szCs w:val="24"/>
        </w:rPr>
      </w:pPr>
    </w:p>
    <w:p w14:paraId="1E44718D" w14:textId="568042C9" w:rsidR="00E32BFC" w:rsidRPr="008964F7" w:rsidRDefault="00E42367" w:rsidP="00E32BFC">
      <w:pPr>
        <w:pStyle w:val="ListParagraph"/>
        <w:numPr>
          <w:ilvl w:val="0"/>
          <w:numId w:val="4"/>
        </w:numPr>
        <w:rPr>
          <w:sz w:val="24"/>
          <w:szCs w:val="24"/>
        </w:rPr>
      </w:pPr>
      <w:r w:rsidRPr="008964F7">
        <w:rPr>
          <w:sz w:val="24"/>
          <w:szCs w:val="24"/>
        </w:rPr>
        <w:t>The report also indicated that coastal communities have a lower uptake of higher</w:t>
      </w:r>
      <w:r w:rsidR="00A043A7" w:rsidRPr="008964F7">
        <w:rPr>
          <w:sz w:val="24"/>
          <w:szCs w:val="24"/>
        </w:rPr>
        <w:t xml:space="preserve"> education, as well as higher rates of hospital admission for young people </w:t>
      </w:r>
      <w:r w:rsidR="007B615D" w:rsidRPr="008964F7">
        <w:rPr>
          <w:sz w:val="24"/>
          <w:szCs w:val="24"/>
        </w:rPr>
        <w:t xml:space="preserve">due to “health-risking” behaviours. </w:t>
      </w:r>
      <w:r w:rsidR="00BC207C" w:rsidRPr="008964F7">
        <w:rPr>
          <w:sz w:val="24"/>
          <w:szCs w:val="24"/>
        </w:rPr>
        <w:t xml:space="preserve">It is suggested that limited employment opportunities further exacerbate </w:t>
      </w:r>
      <w:r w:rsidR="00003FF6" w:rsidRPr="008964F7">
        <w:rPr>
          <w:sz w:val="24"/>
          <w:szCs w:val="24"/>
        </w:rPr>
        <w:t xml:space="preserve">the </w:t>
      </w:r>
      <w:r w:rsidR="00003FF6" w:rsidRPr="008964F7">
        <w:rPr>
          <w:sz w:val="24"/>
          <w:szCs w:val="24"/>
        </w:rPr>
        <w:lastRenderedPageBreak/>
        <w:t xml:space="preserve">development of children and young people, which has led to </w:t>
      </w:r>
      <w:r w:rsidR="00737028" w:rsidRPr="008964F7">
        <w:rPr>
          <w:sz w:val="24"/>
          <w:szCs w:val="24"/>
        </w:rPr>
        <w:t xml:space="preserve">significant disparities in hospital admissions for </w:t>
      </w:r>
      <w:r w:rsidR="00F209BD" w:rsidRPr="008964F7">
        <w:rPr>
          <w:sz w:val="24"/>
          <w:szCs w:val="24"/>
        </w:rPr>
        <w:t xml:space="preserve">both </w:t>
      </w:r>
      <w:r w:rsidR="00737028" w:rsidRPr="008964F7">
        <w:rPr>
          <w:sz w:val="24"/>
          <w:szCs w:val="24"/>
        </w:rPr>
        <w:t xml:space="preserve">self-harm among </w:t>
      </w:r>
      <w:r w:rsidR="001345C8" w:rsidRPr="008964F7">
        <w:rPr>
          <w:sz w:val="24"/>
          <w:szCs w:val="24"/>
        </w:rPr>
        <w:t>10</w:t>
      </w:r>
      <w:r w:rsidR="001345C8">
        <w:rPr>
          <w:sz w:val="24"/>
          <w:szCs w:val="24"/>
        </w:rPr>
        <w:t xml:space="preserve"> to 24-year-olds</w:t>
      </w:r>
      <w:r w:rsidR="00F209BD" w:rsidRPr="008964F7">
        <w:rPr>
          <w:sz w:val="24"/>
          <w:szCs w:val="24"/>
        </w:rPr>
        <w:t xml:space="preserve"> and drug and alcohol misuse in under 18</w:t>
      </w:r>
      <w:r w:rsidR="00E73E9D" w:rsidRPr="008964F7">
        <w:rPr>
          <w:sz w:val="24"/>
          <w:szCs w:val="24"/>
        </w:rPr>
        <w:t xml:space="preserve">s. </w:t>
      </w:r>
    </w:p>
    <w:p w14:paraId="3284FF9F" w14:textId="77777777" w:rsidR="00C339E9" w:rsidRPr="008964F7" w:rsidRDefault="00C339E9" w:rsidP="00C339E9">
      <w:pPr>
        <w:pStyle w:val="ListParagraph"/>
        <w:rPr>
          <w:sz w:val="24"/>
          <w:szCs w:val="24"/>
        </w:rPr>
      </w:pPr>
    </w:p>
    <w:p w14:paraId="446DCDD7" w14:textId="65167141" w:rsidR="00C339E9" w:rsidRPr="008964F7" w:rsidRDefault="00C339E9" w:rsidP="00C339E9">
      <w:pPr>
        <w:pStyle w:val="ListParagraph"/>
        <w:numPr>
          <w:ilvl w:val="0"/>
          <w:numId w:val="4"/>
        </w:numPr>
        <w:rPr>
          <w:sz w:val="24"/>
          <w:szCs w:val="24"/>
        </w:rPr>
      </w:pPr>
      <w:r w:rsidRPr="008964F7">
        <w:rPr>
          <w:sz w:val="24"/>
          <w:szCs w:val="24"/>
        </w:rPr>
        <w:t xml:space="preserve">Researchers at the University of Plymouth who contributed to the </w:t>
      </w:r>
      <w:r w:rsidR="00F04CB8">
        <w:rPr>
          <w:sz w:val="24"/>
          <w:szCs w:val="24"/>
        </w:rPr>
        <w:t xml:space="preserve">CMO’s 2021 </w:t>
      </w:r>
      <w:r w:rsidRPr="008964F7">
        <w:rPr>
          <w:sz w:val="24"/>
          <w:szCs w:val="24"/>
        </w:rPr>
        <w:t>report</w:t>
      </w:r>
      <w:r w:rsidR="007D5A92" w:rsidRPr="008964F7">
        <w:rPr>
          <w:sz w:val="24"/>
          <w:szCs w:val="24"/>
        </w:rPr>
        <w:t xml:space="preserve"> identified that digital inequity is a </w:t>
      </w:r>
      <w:r w:rsidR="00F00036" w:rsidRPr="008964F7">
        <w:rPr>
          <w:sz w:val="24"/>
          <w:szCs w:val="24"/>
        </w:rPr>
        <w:t>vital component of these disparities</w:t>
      </w:r>
      <w:r w:rsidR="00741586" w:rsidRPr="008964F7">
        <w:rPr>
          <w:sz w:val="24"/>
          <w:szCs w:val="24"/>
        </w:rPr>
        <w:t xml:space="preserve"> and categorised the digit equity into three areas:</w:t>
      </w:r>
    </w:p>
    <w:p w14:paraId="6A6C6C1C" w14:textId="77777777" w:rsidR="00741586" w:rsidRPr="008964F7" w:rsidRDefault="00741586" w:rsidP="00741586">
      <w:pPr>
        <w:pStyle w:val="ListParagraph"/>
        <w:rPr>
          <w:sz w:val="24"/>
          <w:szCs w:val="24"/>
        </w:rPr>
      </w:pPr>
    </w:p>
    <w:p w14:paraId="5E0E6CAF" w14:textId="42C7361C" w:rsidR="00741586" w:rsidRPr="008964F7" w:rsidRDefault="00381404" w:rsidP="00741586">
      <w:pPr>
        <w:pStyle w:val="ListParagraph"/>
        <w:numPr>
          <w:ilvl w:val="0"/>
          <w:numId w:val="5"/>
        </w:numPr>
        <w:rPr>
          <w:sz w:val="24"/>
          <w:szCs w:val="24"/>
        </w:rPr>
      </w:pPr>
      <w:r w:rsidRPr="008964F7">
        <w:rPr>
          <w:i/>
          <w:iCs/>
          <w:sz w:val="24"/>
          <w:szCs w:val="24"/>
        </w:rPr>
        <w:t>Digital Connection:</w:t>
      </w:r>
      <w:r w:rsidRPr="008964F7">
        <w:rPr>
          <w:sz w:val="24"/>
          <w:szCs w:val="24"/>
        </w:rPr>
        <w:t xml:space="preserve"> Access to the same digital facilities and services as the general population,</w:t>
      </w:r>
    </w:p>
    <w:p w14:paraId="447059B3" w14:textId="0C4FCB44" w:rsidR="00381404" w:rsidRPr="008964F7" w:rsidRDefault="00381404" w:rsidP="00741586">
      <w:pPr>
        <w:pStyle w:val="ListParagraph"/>
        <w:numPr>
          <w:ilvl w:val="0"/>
          <w:numId w:val="5"/>
        </w:numPr>
        <w:rPr>
          <w:sz w:val="24"/>
          <w:szCs w:val="24"/>
        </w:rPr>
      </w:pPr>
      <w:r w:rsidRPr="008964F7">
        <w:rPr>
          <w:i/>
          <w:iCs/>
          <w:sz w:val="24"/>
          <w:szCs w:val="24"/>
        </w:rPr>
        <w:t>Digital Employability:</w:t>
      </w:r>
      <w:r w:rsidRPr="008964F7">
        <w:rPr>
          <w:sz w:val="24"/>
          <w:szCs w:val="24"/>
        </w:rPr>
        <w:t xml:space="preserve"> </w:t>
      </w:r>
      <w:r w:rsidR="00456FC3" w:rsidRPr="008964F7">
        <w:rPr>
          <w:sz w:val="24"/>
          <w:szCs w:val="24"/>
        </w:rPr>
        <w:t>Equal opportunities for jobs in the digital economy,</w:t>
      </w:r>
    </w:p>
    <w:p w14:paraId="2773D1AD" w14:textId="32734BBC" w:rsidR="00EC218C" w:rsidRPr="008964F7" w:rsidRDefault="00E5457D" w:rsidP="00741586">
      <w:pPr>
        <w:pStyle w:val="ListParagraph"/>
        <w:numPr>
          <w:ilvl w:val="0"/>
          <w:numId w:val="5"/>
        </w:numPr>
        <w:rPr>
          <w:sz w:val="24"/>
          <w:szCs w:val="24"/>
        </w:rPr>
      </w:pPr>
      <w:r w:rsidRPr="008964F7">
        <w:rPr>
          <w:i/>
          <w:iCs/>
          <w:sz w:val="24"/>
          <w:szCs w:val="24"/>
        </w:rPr>
        <w:t>Digitally enabled</w:t>
      </w:r>
      <w:r w:rsidR="00456FC3" w:rsidRPr="008964F7">
        <w:rPr>
          <w:i/>
          <w:iCs/>
          <w:sz w:val="24"/>
          <w:szCs w:val="24"/>
        </w:rPr>
        <w:t xml:space="preserve"> participation</w:t>
      </w:r>
      <w:r w:rsidR="00456FC3" w:rsidRPr="008964F7">
        <w:rPr>
          <w:sz w:val="24"/>
          <w:szCs w:val="24"/>
        </w:rPr>
        <w:t xml:space="preserve">: </w:t>
      </w:r>
      <w:r w:rsidR="00EC218C" w:rsidRPr="008964F7">
        <w:rPr>
          <w:sz w:val="24"/>
          <w:szCs w:val="24"/>
        </w:rPr>
        <w:t xml:space="preserve">The ability to use digital </w:t>
      </w:r>
      <w:r w:rsidR="00C35F93" w:rsidRPr="008964F7">
        <w:rPr>
          <w:sz w:val="24"/>
          <w:szCs w:val="24"/>
        </w:rPr>
        <w:t>tools</w:t>
      </w:r>
      <w:r w:rsidR="00EC218C" w:rsidRPr="008964F7">
        <w:rPr>
          <w:sz w:val="24"/>
          <w:szCs w:val="24"/>
        </w:rPr>
        <w:t xml:space="preserve"> to participate equally in societal activities.</w:t>
      </w:r>
    </w:p>
    <w:p w14:paraId="5FDEEE97" w14:textId="10225A8C" w:rsidR="00456FC3" w:rsidRPr="008964F7" w:rsidRDefault="00EC218C" w:rsidP="00DD5D79">
      <w:pPr>
        <w:rPr>
          <w:sz w:val="24"/>
          <w:szCs w:val="24"/>
        </w:rPr>
      </w:pPr>
      <w:r w:rsidRPr="008964F7">
        <w:rPr>
          <w:sz w:val="24"/>
          <w:szCs w:val="24"/>
        </w:rPr>
        <w:t xml:space="preserve"> </w:t>
      </w:r>
      <w:r w:rsidR="00F33E16" w:rsidRPr="008964F7">
        <w:rPr>
          <w:sz w:val="24"/>
          <w:szCs w:val="24"/>
        </w:rPr>
        <w:t>The findings from this report</w:t>
      </w:r>
      <w:r w:rsidR="00DC0BC5" w:rsidRPr="008964F7">
        <w:rPr>
          <w:sz w:val="24"/>
          <w:szCs w:val="24"/>
        </w:rPr>
        <w:t xml:space="preserve"> underscore the urgent need for targeted intervention to address</w:t>
      </w:r>
      <w:r w:rsidR="00DD5D79" w:rsidRPr="008964F7">
        <w:rPr>
          <w:rFonts w:cs="Segoe UI"/>
          <w:color w:val="424242"/>
          <w:sz w:val="24"/>
          <w:szCs w:val="24"/>
          <w:shd w:val="clear" w:color="auto" w:fill="FAFAFA"/>
        </w:rPr>
        <w:t xml:space="preserve"> </w:t>
      </w:r>
      <w:r w:rsidR="00DD5D79" w:rsidRPr="008964F7">
        <w:rPr>
          <w:sz w:val="24"/>
          <w:szCs w:val="24"/>
        </w:rPr>
        <w:t>the unique health and socioeconomic challenges faced by coastal communities.</w:t>
      </w:r>
    </w:p>
    <w:p w14:paraId="75B4AB82" w14:textId="72616B48" w:rsidR="00DD5D79" w:rsidRPr="0033376A" w:rsidRDefault="00441AFE" w:rsidP="00055480">
      <w:pPr>
        <w:pStyle w:val="Heading2"/>
        <w:numPr>
          <w:ilvl w:val="1"/>
          <w:numId w:val="2"/>
        </w:numPr>
        <w:rPr>
          <w:sz w:val="24"/>
          <w:szCs w:val="24"/>
        </w:rPr>
      </w:pPr>
      <w:bookmarkStart w:id="3" w:name="_Toc201230569"/>
      <w:r w:rsidRPr="0033376A">
        <w:rPr>
          <w:sz w:val="24"/>
          <w:szCs w:val="24"/>
        </w:rPr>
        <w:t xml:space="preserve">Understanding Coastal Communities </w:t>
      </w:r>
      <w:r w:rsidR="001F69F7" w:rsidRPr="0033376A">
        <w:rPr>
          <w:sz w:val="24"/>
          <w:szCs w:val="24"/>
        </w:rPr>
        <w:t>in the South West</w:t>
      </w:r>
      <w:bookmarkEnd w:id="3"/>
    </w:p>
    <w:p w14:paraId="4B9ABF0C" w14:textId="12E5F495" w:rsidR="00AC2D42" w:rsidRPr="008964F7" w:rsidRDefault="009D67DA" w:rsidP="00AC2D42">
      <w:pPr>
        <w:rPr>
          <w:sz w:val="24"/>
          <w:szCs w:val="24"/>
        </w:rPr>
      </w:pPr>
      <w:r w:rsidRPr="008964F7">
        <w:rPr>
          <w:sz w:val="24"/>
          <w:szCs w:val="24"/>
        </w:rPr>
        <w:t xml:space="preserve">The </w:t>
      </w:r>
      <w:r w:rsidR="007F44EC" w:rsidRPr="008964F7">
        <w:rPr>
          <w:sz w:val="24"/>
          <w:szCs w:val="24"/>
        </w:rPr>
        <w:t>CMOs</w:t>
      </w:r>
      <w:r w:rsidRPr="008964F7">
        <w:rPr>
          <w:sz w:val="24"/>
          <w:szCs w:val="24"/>
        </w:rPr>
        <w:t xml:space="preserve"> Annual Report in 202</w:t>
      </w:r>
      <w:r w:rsidR="007F44EC" w:rsidRPr="008964F7">
        <w:rPr>
          <w:sz w:val="24"/>
          <w:szCs w:val="24"/>
        </w:rPr>
        <w:t>3</w:t>
      </w:r>
      <w:r w:rsidR="00EB4F0C" w:rsidRPr="008964F7">
        <w:rPr>
          <w:sz w:val="24"/>
          <w:szCs w:val="24"/>
        </w:rPr>
        <w:t xml:space="preserve"> </w:t>
      </w:r>
      <w:r w:rsidR="00EB4F0C" w:rsidRPr="008964F7">
        <w:rPr>
          <w:i/>
          <w:iCs/>
          <w:sz w:val="24"/>
          <w:szCs w:val="24"/>
        </w:rPr>
        <w:t>Health in an Ag</w:t>
      </w:r>
      <w:r w:rsidR="00C15040" w:rsidRPr="008964F7">
        <w:rPr>
          <w:i/>
          <w:iCs/>
          <w:sz w:val="24"/>
          <w:szCs w:val="24"/>
        </w:rPr>
        <w:t>e</w:t>
      </w:r>
      <w:r w:rsidR="00EB4F0C" w:rsidRPr="008964F7">
        <w:rPr>
          <w:i/>
          <w:iCs/>
          <w:sz w:val="24"/>
          <w:szCs w:val="24"/>
        </w:rPr>
        <w:t>ing Society</w:t>
      </w:r>
      <w:r w:rsidR="00E254D0" w:rsidRPr="008964F7">
        <w:rPr>
          <w:i/>
          <w:iCs/>
          <w:sz w:val="24"/>
          <w:szCs w:val="24"/>
        </w:rPr>
        <w:t xml:space="preserve"> </w:t>
      </w:r>
      <w:r w:rsidR="00FA3643" w:rsidRPr="008964F7">
        <w:rPr>
          <w:rStyle w:val="FootnoteReference"/>
          <w:i/>
          <w:iCs/>
          <w:sz w:val="24"/>
          <w:szCs w:val="24"/>
        </w:rPr>
        <w:footnoteReference w:id="10"/>
      </w:r>
      <w:r w:rsidR="00EB4F0C" w:rsidRPr="008964F7">
        <w:rPr>
          <w:sz w:val="24"/>
          <w:szCs w:val="24"/>
        </w:rPr>
        <w:t xml:space="preserve"> </w:t>
      </w:r>
      <w:r w:rsidR="00FA3643" w:rsidRPr="008964F7">
        <w:rPr>
          <w:sz w:val="24"/>
          <w:szCs w:val="24"/>
        </w:rPr>
        <w:t>highlighted that rural and coastal ar</w:t>
      </w:r>
      <w:r w:rsidR="00CF12BD">
        <w:rPr>
          <w:sz w:val="24"/>
          <w:szCs w:val="24"/>
        </w:rPr>
        <w:t>e</w:t>
      </w:r>
      <w:r w:rsidR="00FA3643" w:rsidRPr="008964F7">
        <w:rPr>
          <w:sz w:val="24"/>
          <w:szCs w:val="24"/>
        </w:rPr>
        <w:t xml:space="preserve">as </w:t>
      </w:r>
      <w:r w:rsidR="00CF12BD">
        <w:rPr>
          <w:sz w:val="24"/>
          <w:szCs w:val="24"/>
        </w:rPr>
        <w:t>are</w:t>
      </w:r>
      <w:r w:rsidR="00FA3643" w:rsidRPr="008964F7">
        <w:rPr>
          <w:sz w:val="24"/>
          <w:szCs w:val="24"/>
        </w:rPr>
        <w:t xml:space="preserve"> ageing at a faster rate </w:t>
      </w:r>
      <w:r w:rsidR="00C15040" w:rsidRPr="008964F7">
        <w:rPr>
          <w:sz w:val="24"/>
          <w:szCs w:val="24"/>
        </w:rPr>
        <w:t xml:space="preserve">than in urban areas. This is partially due to </w:t>
      </w:r>
      <w:r w:rsidR="00565858" w:rsidRPr="008964F7">
        <w:rPr>
          <w:sz w:val="24"/>
          <w:szCs w:val="24"/>
        </w:rPr>
        <w:t>internal migration</w:t>
      </w:r>
      <w:r w:rsidR="00811150" w:rsidRPr="008964F7">
        <w:rPr>
          <w:sz w:val="24"/>
          <w:szCs w:val="24"/>
        </w:rPr>
        <w:t xml:space="preserve">, i.e. </w:t>
      </w:r>
      <w:r w:rsidR="00565858" w:rsidRPr="008964F7">
        <w:rPr>
          <w:sz w:val="24"/>
          <w:szCs w:val="24"/>
        </w:rPr>
        <w:t>people retiring to coastal and rural areas</w:t>
      </w:r>
      <w:r w:rsidR="00811150" w:rsidRPr="008964F7">
        <w:rPr>
          <w:sz w:val="24"/>
          <w:szCs w:val="24"/>
        </w:rPr>
        <w:t xml:space="preserve">. </w:t>
      </w:r>
    </w:p>
    <w:p w14:paraId="79B47421" w14:textId="6FD05E47" w:rsidR="00C95A29" w:rsidRPr="008964F7" w:rsidRDefault="00D42454" w:rsidP="00A04C3B">
      <w:pPr>
        <w:rPr>
          <w:sz w:val="24"/>
          <w:szCs w:val="24"/>
        </w:rPr>
      </w:pPr>
      <w:r w:rsidRPr="008964F7">
        <w:rPr>
          <w:sz w:val="24"/>
          <w:szCs w:val="24"/>
        </w:rPr>
        <w:t xml:space="preserve">The population in coastal areas is ageing rapidly. </w:t>
      </w:r>
      <w:r w:rsidR="003939DC" w:rsidRPr="008964F7">
        <w:rPr>
          <w:sz w:val="24"/>
          <w:szCs w:val="24"/>
        </w:rPr>
        <w:t>According to the Office for National Statistics (ONS)</w:t>
      </w:r>
      <w:r w:rsidR="00C0633D" w:rsidRPr="008964F7">
        <w:rPr>
          <w:sz w:val="24"/>
          <w:szCs w:val="24"/>
        </w:rPr>
        <w:t xml:space="preserve">, the population of individuals aged 75 and over in the South West of England is projected to </w:t>
      </w:r>
      <w:r w:rsidR="00C35F93" w:rsidRPr="008964F7">
        <w:rPr>
          <w:sz w:val="24"/>
          <w:szCs w:val="24"/>
        </w:rPr>
        <w:t>i</w:t>
      </w:r>
      <w:r w:rsidR="00C0633D" w:rsidRPr="008964F7">
        <w:rPr>
          <w:sz w:val="24"/>
          <w:szCs w:val="24"/>
        </w:rPr>
        <w:t xml:space="preserve">ncrease by </w:t>
      </w:r>
      <w:r w:rsidR="00C35F93" w:rsidRPr="008964F7">
        <w:rPr>
          <w:sz w:val="24"/>
          <w:szCs w:val="24"/>
        </w:rPr>
        <w:t>approximately</w:t>
      </w:r>
      <w:r w:rsidR="00C0633D" w:rsidRPr="008964F7">
        <w:rPr>
          <w:sz w:val="24"/>
          <w:szCs w:val="24"/>
        </w:rPr>
        <w:t xml:space="preserve"> </w:t>
      </w:r>
      <w:r w:rsidR="00C35F93" w:rsidRPr="008964F7">
        <w:rPr>
          <w:sz w:val="24"/>
          <w:szCs w:val="24"/>
        </w:rPr>
        <w:t>57% between 2022 and 2043, rising from 652,994 to 1,026,317</w:t>
      </w:r>
      <w:r w:rsidR="003939DC" w:rsidRPr="008964F7">
        <w:rPr>
          <w:rStyle w:val="FootnoteReference"/>
          <w:sz w:val="24"/>
          <w:szCs w:val="24"/>
        </w:rPr>
        <w:footnoteReference w:id="11"/>
      </w:r>
      <w:r w:rsidR="00097D82" w:rsidRPr="008964F7">
        <w:rPr>
          <w:sz w:val="24"/>
          <w:szCs w:val="24"/>
        </w:rPr>
        <w:t>.</w:t>
      </w:r>
      <w:r w:rsidR="00D66C6C" w:rsidRPr="008964F7">
        <w:rPr>
          <w:sz w:val="24"/>
          <w:szCs w:val="24"/>
        </w:rPr>
        <w:t xml:space="preserve"> </w:t>
      </w:r>
      <w:r w:rsidR="00A04C3B" w:rsidRPr="008964F7">
        <w:rPr>
          <w:sz w:val="24"/>
          <w:szCs w:val="24"/>
        </w:rPr>
        <w:t xml:space="preserve">By 2043, this age group is expected to make up 16.1% of the region’s population, with some local authorities, such as Dorset, projected to have over 22% </w:t>
      </w:r>
      <w:r w:rsidR="006649CE" w:rsidRPr="008964F7">
        <w:rPr>
          <w:sz w:val="24"/>
          <w:szCs w:val="24"/>
        </w:rPr>
        <w:t xml:space="preserve">(1 in 5) </w:t>
      </w:r>
      <w:r w:rsidR="00A04C3B" w:rsidRPr="008964F7">
        <w:rPr>
          <w:sz w:val="24"/>
          <w:szCs w:val="24"/>
        </w:rPr>
        <w:t>of their population aged 75 and over</w:t>
      </w:r>
      <w:r w:rsidR="00E73E9D" w:rsidRPr="008964F7">
        <w:rPr>
          <w:sz w:val="24"/>
          <w:szCs w:val="24"/>
        </w:rPr>
        <w:t xml:space="preserve">. </w:t>
      </w:r>
    </w:p>
    <w:p w14:paraId="1B9E526E" w14:textId="3692C12C" w:rsidR="00B761A2" w:rsidRPr="008964F7" w:rsidRDefault="00B761A2" w:rsidP="004D3FDF">
      <w:pPr>
        <w:rPr>
          <w:sz w:val="24"/>
          <w:szCs w:val="24"/>
        </w:rPr>
      </w:pPr>
      <w:r w:rsidRPr="008964F7">
        <w:rPr>
          <w:sz w:val="24"/>
          <w:szCs w:val="24"/>
        </w:rPr>
        <w:t xml:space="preserve">As mentioned earlier, disability prevalence </w:t>
      </w:r>
      <w:r w:rsidR="00843955" w:rsidRPr="008964F7">
        <w:rPr>
          <w:sz w:val="24"/>
          <w:szCs w:val="24"/>
        </w:rPr>
        <w:t xml:space="preserve">is higher in coastal areas. </w:t>
      </w:r>
      <w:r w:rsidR="004D3FDF" w:rsidRPr="008964F7">
        <w:rPr>
          <w:sz w:val="24"/>
          <w:szCs w:val="24"/>
        </w:rPr>
        <w:t>The 2021 Census reported that Torbay (23.8%), Plymouth (21.7%), and Cornwall (21.1%) had some of the highest proportions of disabled residents in the South West, compared to the England average of 17.3%</w:t>
      </w:r>
      <w:r w:rsidR="00097D82" w:rsidRPr="008964F7">
        <w:rPr>
          <w:rStyle w:val="FootnoteReference"/>
          <w:sz w:val="24"/>
          <w:szCs w:val="24"/>
        </w:rPr>
        <w:footnoteReference w:id="12"/>
      </w:r>
      <w:r w:rsidR="00097D82" w:rsidRPr="008964F7">
        <w:rPr>
          <w:sz w:val="24"/>
          <w:szCs w:val="24"/>
        </w:rPr>
        <w:t>.</w:t>
      </w:r>
      <w:r w:rsidR="00566132" w:rsidRPr="008964F7">
        <w:rPr>
          <w:sz w:val="24"/>
          <w:szCs w:val="24"/>
        </w:rPr>
        <w:t xml:space="preserve"> Similarly, </w:t>
      </w:r>
      <w:r w:rsidR="00F023A0" w:rsidRPr="008964F7">
        <w:rPr>
          <w:sz w:val="24"/>
          <w:szCs w:val="24"/>
        </w:rPr>
        <w:t xml:space="preserve">frailty amongst adults aged 50 and over is concentrated in </w:t>
      </w:r>
      <w:r w:rsidR="00A86E0E" w:rsidRPr="008964F7">
        <w:rPr>
          <w:sz w:val="24"/>
          <w:szCs w:val="24"/>
        </w:rPr>
        <w:t xml:space="preserve">coastal districts, with Torbay showing the highest prevalence at 15.3% </w:t>
      </w:r>
      <w:r w:rsidR="00A86E0E" w:rsidRPr="008964F7">
        <w:rPr>
          <w:rStyle w:val="FootnoteReference"/>
          <w:sz w:val="24"/>
          <w:szCs w:val="24"/>
        </w:rPr>
        <w:footnoteReference w:id="13"/>
      </w:r>
      <w:r w:rsidR="00A86E0E" w:rsidRPr="008964F7">
        <w:rPr>
          <w:sz w:val="24"/>
          <w:szCs w:val="24"/>
        </w:rPr>
        <w:t>.</w:t>
      </w:r>
    </w:p>
    <w:p w14:paraId="3C3CA1B5" w14:textId="36711398" w:rsidR="00377ADD" w:rsidRPr="008964F7" w:rsidRDefault="00AC0E2C" w:rsidP="004D3FDF">
      <w:pPr>
        <w:rPr>
          <w:sz w:val="24"/>
          <w:szCs w:val="24"/>
        </w:rPr>
      </w:pPr>
      <w:r w:rsidRPr="008964F7">
        <w:rPr>
          <w:sz w:val="24"/>
          <w:szCs w:val="24"/>
        </w:rPr>
        <w:t xml:space="preserve">Substance </w:t>
      </w:r>
      <w:r w:rsidR="002F730A" w:rsidRPr="008964F7">
        <w:rPr>
          <w:sz w:val="24"/>
          <w:szCs w:val="24"/>
        </w:rPr>
        <w:t>misuse</w:t>
      </w:r>
      <w:r w:rsidRPr="008964F7">
        <w:rPr>
          <w:sz w:val="24"/>
          <w:szCs w:val="24"/>
        </w:rPr>
        <w:t xml:space="preserve"> is another </w:t>
      </w:r>
      <w:r w:rsidR="00732A8A" w:rsidRPr="008964F7">
        <w:rPr>
          <w:sz w:val="24"/>
          <w:szCs w:val="24"/>
        </w:rPr>
        <w:t xml:space="preserve">issue faced by coastal communities, who exhibit high levels of drug and alcohol </w:t>
      </w:r>
      <w:r w:rsidR="002F730A" w:rsidRPr="008964F7">
        <w:rPr>
          <w:sz w:val="24"/>
          <w:szCs w:val="24"/>
        </w:rPr>
        <w:t xml:space="preserve">dependency, </w:t>
      </w:r>
      <w:r w:rsidR="0049792C" w:rsidRPr="008964F7">
        <w:rPr>
          <w:sz w:val="24"/>
          <w:szCs w:val="24"/>
        </w:rPr>
        <w:t>alongside</w:t>
      </w:r>
      <w:r w:rsidR="002F730A" w:rsidRPr="008964F7">
        <w:rPr>
          <w:sz w:val="24"/>
          <w:szCs w:val="24"/>
        </w:rPr>
        <w:t xml:space="preserve"> unmet treatment needs and elevated rates of drug-related deaths and hospital admissions</w:t>
      </w:r>
      <w:r w:rsidR="002A64CF" w:rsidRPr="008964F7">
        <w:rPr>
          <w:sz w:val="24"/>
          <w:szCs w:val="24"/>
        </w:rPr>
        <w:t xml:space="preserve"> </w:t>
      </w:r>
      <w:r w:rsidR="002A64CF" w:rsidRPr="008964F7">
        <w:rPr>
          <w:rStyle w:val="FootnoteReference"/>
          <w:sz w:val="24"/>
          <w:szCs w:val="24"/>
        </w:rPr>
        <w:footnoteReference w:id="14"/>
      </w:r>
      <w:r w:rsidR="00E73E9D" w:rsidRPr="008964F7">
        <w:rPr>
          <w:sz w:val="24"/>
          <w:szCs w:val="24"/>
        </w:rPr>
        <w:t xml:space="preserve">. </w:t>
      </w:r>
      <w:r w:rsidR="00214CDF" w:rsidRPr="008964F7">
        <w:rPr>
          <w:sz w:val="24"/>
          <w:szCs w:val="24"/>
        </w:rPr>
        <w:t>These issues are closely linked to socioeconomic</w:t>
      </w:r>
      <w:r w:rsidR="00A06B19" w:rsidRPr="008964F7">
        <w:rPr>
          <w:sz w:val="24"/>
          <w:szCs w:val="24"/>
        </w:rPr>
        <w:t xml:space="preserve"> deprivation, poor mental health, and limited access to services. In addition, young peopl</w:t>
      </w:r>
      <w:r w:rsidR="00B043E6" w:rsidRPr="008964F7">
        <w:rPr>
          <w:sz w:val="24"/>
          <w:szCs w:val="24"/>
        </w:rPr>
        <w:t>e and vulnerable groups are particularly affected, including through exploitation in county lines operations</w:t>
      </w:r>
      <w:r w:rsidR="00D87A00" w:rsidRPr="008964F7">
        <w:rPr>
          <w:sz w:val="24"/>
          <w:szCs w:val="24"/>
        </w:rPr>
        <w:t xml:space="preserve"> </w:t>
      </w:r>
      <w:r w:rsidR="00D87A00" w:rsidRPr="008964F7">
        <w:rPr>
          <w:rStyle w:val="FootnoteReference"/>
          <w:sz w:val="24"/>
          <w:szCs w:val="24"/>
        </w:rPr>
        <w:footnoteReference w:id="15"/>
      </w:r>
      <w:r w:rsidR="00D87A00" w:rsidRPr="008964F7">
        <w:rPr>
          <w:sz w:val="24"/>
          <w:szCs w:val="24"/>
        </w:rPr>
        <w:t xml:space="preserve">. </w:t>
      </w:r>
    </w:p>
    <w:p w14:paraId="26AA635F" w14:textId="77777777" w:rsidR="0018507C" w:rsidRPr="008964F7" w:rsidRDefault="000F73CC" w:rsidP="004D3FDF">
      <w:pPr>
        <w:rPr>
          <w:sz w:val="24"/>
          <w:szCs w:val="24"/>
        </w:rPr>
      </w:pPr>
      <w:r w:rsidRPr="008964F7">
        <w:rPr>
          <w:sz w:val="24"/>
          <w:szCs w:val="24"/>
        </w:rPr>
        <w:t xml:space="preserve">These findings highlight the need for geographically tailored public health </w:t>
      </w:r>
      <w:r w:rsidR="008A13A4" w:rsidRPr="008964F7">
        <w:rPr>
          <w:sz w:val="24"/>
          <w:szCs w:val="24"/>
        </w:rPr>
        <w:t xml:space="preserve">strategies that address the </w:t>
      </w:r>
      <w:r w:rsidR="008A13A4" w:rsidRPr="008964F7">
        <w:rPr>
          <w:sz w:val="24"/>
          <w:szCs w:val="24"/>
        </w:rPr>
        <w:lastRenderedPageBreak/>
        <w:t>unique demographic, economic and health service challenges faced by coastal communities.</w:t>
      </w:r>
    </w:p>
    <w:p w14:paraId="0BB16478" w14:textId="1555CD7C" w:rsidR="0024394D" w:rsidRPr="0033376A" w:rsidRDefault="002C6786" w:rsidP="0024394D">
      <w:pPr>
        <w:pStyle w:val="Heading2"/>
        <w:numPr>
          <w:ilvl w:val="1"/>
          <w:numId w:val="2"/>
        </w:numPr>
        <w:rPr>
          <w:sz w:val="24"/>
          <w:szCs w:val="24"/>
        </w:rPr>
      </w:pPr>
      <w:bookmarkStart w:id="4" w:name="_Toc201230570"/>
      <w:r w:rsidRPr="0033376A">
        <w:rPr>
          <w:sz w:val="24"/>
          <w:szCs w:val="24"/>
        </w:rPr>
        <w:t>Reflection</w:t>
      </w:r>
      <w:r w:rsidR="00327DD0" w:rsidRPr="0033376A">
        <w:rPr>
          <w:sz w:val="24"/>
          <w:szCs w:val="24"/>
        </w:rPr>
        <w:t>s</w:t>
      </w:r>
      <w:r w:rsidRPr="0033376A">
        <w:rPr>
          <w:sz w:val="24"/>
          <w:szCs w:val="24"/>
        </w:rPr>
        <w:t xml:space="preserve"> on the Work of Health </w:t>
      </w:r>
      <w:r w:rsidR="00FE0789" w:rsidRPr="0033376A">
        <w:rPr>
          <w:sz w:val="24"/>
          <w:szCs w:val="24"/>
        </w:rPr>
        <w:t>Innovation</w:t>
      </w:r>
      <w:r w:rsidRPr="0033376A">
        <w:rPr>
          <w:sz w:val="24"/>
          <w:szCs w:val="24"/>
        </w:rPr>
        <w:t xml:space="preserve"> South West</w:t>
      </w:r>
      <w:r w:rsidR="00327DD0" w:rsidRPr="0033376A">
        <w:rPr>
          <w:sz w:val="24"/>
          <w:szCs w:val="24"/>
        </w:rPr>
        <w:t>: Closing the Health Innovation Gap</w:t>
      </w:r>
      <w:r w:rsidR="004B41A5">
        <w:rPr>
          <w:sz w:val="24"/>
          <w:szCs w:val="24"/>
        </w:rPr>
        <w:t xml:space="preserve"> – A Rural and Coastal Challenge.</w:t>
      </w:r>
      <w:r w:rsidR="00B16C2C" w:rsidRPr="0033376A">
        <w:rPr>
          <w:sz w:val="24"/>
          <w:szCs w:val="24"/>
        </w:rPr>
        <w:t xml:space="preserve"> </w:t>
      </w:r>
      <w:r w:rsidR="0016133B" w:rsidRPr="0033376A">
        <w:rPr>
          <w:rStyle w:val="FootnoteReference"/>
          <w:sz w:val="24"/>
          <w:szCs w:val="24"/>
        </w:rPr>
        <w:footnoteReference w:id="16"/>
      </w:r>
      <w:bookmarkEnd w:id="4"/>
    </w:p>
    <w:p w14:paraId="69A2A0B4" w14:textId="5B0FBF5F" w:rsidR="00315C7B" w:rsidRPr="008964F7" w:rsidRDefault="003F681C" w:rsidP="00FD237A">
      <w:pPr>
        <w:rPr>
          <w:sz w:val="24"/>
          <w:szCs w:val="24"/>
        </w:rPr>
      </w:pPr>
      <w:r w:rsidRPr="008964F7">
        <w:rPr>
          <w:sz w:val="24"/>
          <w:szCs w:val="24"/>
        </w:rPr>
        <w:t xml:space="preserve">With </w:t>
      </w:r>
      <w:r w:rsidR="00FD237A" w:rsidRPr="008964F7">
        <w:rPr>
          <w:sz w:val="24"/>
          <w:szCs w:val="24"/>
        </w:rPr>
        <w:t xml:space="preserve">2.3 million people dispersed across the region, the South West has one of the lowest population densities in England. </w:t>
      </w:r>
      <w:r w:rsidR="0030723B" w:rsidRPr="008964F7">
        <w:rPr>
          <w:sz w:val="24"/>
          <w:szCs w:val="24"/>
        </w:rPr>
        <w:t xml:space="preserve">Having over 600 miles of coastline results in challenges for </w:t>
      </w:r>
      <w:r w:rsidR="00827810" w:rsidRPr="008964F7">
        <w:rPr>
          <w:sz w:val="24"/>
          <w:szCs w:val="24"/>
        </w:rPr>
        <w:t>accessing care, with travel time to a Type 1 ED</w:t>
      </w:r>
      <w:r w:rsidR="00D71673" w:rsidRPr="008964F7">
        <w:rPr>
          <w:sz w:val="24"/>
          <w:szCs w:val="24"/>
        </w:rPr>
        <w:t xml:space="preserve"> </w:t>
      </w:r>
      <w:r w:rsidR="00D71673" w:rsidRPr="008964F7">
        <w:rPr>
          <w:rStyle w:val="FootnoteReference"/>
          <w:sz w:val="24"/>
          <w:szCs w:val="24"/>
        </w:rPr>
        <w:footnoteReference w:id="17"/>
      </w:r>
      <w:r w:rsidR="00827810" w:rsidRPr="008964F7">
        <w:rPr>
          <w:sz w:val="24"/>
          <w:szCs w:val="24"/>
        </w:rPr>
        <w:t xml:space="preserve"> being twice the national average. </w:t>
      </w:r>
      <w:r w:rsidR="003D1D4B" w:rsidRPr="008964F7">
        <w:rPr>
          <w:sz w:val="24"/>
          <w:szCs w:val="24"/>
        </w:rPr>
        <w:t xml:space="preserve">Organisations such as Health Innovation South West play a key role in </w:t>
      </w:r>
      <w:r w:rsidR="00127730" w:rsidRPr="008964F7">
        <w:rPr>
          <w:sz w:val="24"/>
          <w:szCs w:val="24"/>
        </w:rPr>
        <w:t>identifying</w:t>
      </w:r>
      <w:r w:rsidR="003D1D4B" w:rsidRPr="008964F7">
        <w:rPr>
          <w:sz w:val="24"/>
          <w:szCs w:val="24"/>
        </w:rPr>
        <w:t xml:space="preserve">, </w:t>
      </w:r>
      <w:r w:rsidR="00E73E9D" w:rsidRPr="008964F7">
        <w:rPr>
          <w:sz w:val="24"/>
          <w:szCs w:val="24"/>
        </w:rPr>
        <w:t>testing,</w:t>
      </w:r>
      <w:r w:rsidR="003D1D4B" w:rsidRPr="008964F7">
        <w:rPr>
          <w:sz w:val="24"/>
          <w:szCs w:val="24"/>
        </w:rPr>
        <w:t xml:space="preserve"> and preparing solutions </w:t>
      </w:r>
      <w:r w:rsidR="00127730" w:rsidRPr="008964F7">
        <w:rPr>
          <w:sz w:val="24"/>
          <w:szCs w:val="24"/>
        </w:rPr>
        <w:t xml:space="preserve">that are tailored to the unique needs of these communities. </w:t>
      </w:r>
      <w:r w:rsidR="0095241B" w:rsidRPr="008964F7">
        <w:rPr>
          <w:sz w:val="24"/>
          <w:szCs w:val="24"/>
        </w:rPr>
        <w:t>The organisation supports system-</w:t>
      </w:r>
      <w:r w:rsidR="00903A02" w:rsidRPr="008964F7">
        <w:rPr>
          <w:sz w:val="24"/>
          <w:szCs w:val="24"/>
        </w:rPr>
        <w:t>level</w:t>
      </w:r>
      <w:r w:rsidR="0095241B" w:rsidRPr="008964F7">
        <w:rPr>
          <w:sz w:val="24"/>
          <w:szCs w:val="24"/>
        </w:rPr>
        <w:t xml:space="preserve"> innovation aligned with national and local priorities, </w:t>
      </w:r>
      <w:r w:rsidR="00B16C2C" w:rsidRPr="008964F7">
        <w:rPr>
          <w:sz w:val="24"/>
          <w:szCs w:val="24"/>
        </w:rPr>
        <w:t>while</w:t>
      </w:r>
      <w:r w:rsidR="0095241B" w:rsidRPr="008964F7">
        <w:rPr>
          <w:sz w:val="24"/>
          <w:szCs w:val="24"/>
        </w:rPr>
        <w:t xml:space="preserve"> adapting approaches to the specific demographic and </w:t>
      </w:r>
      <w:r w:rsidR="00B16C2C" w:rsidRPr="008964F7">
        <w:rPr>
          <w:sz w:val="24"/>
          <w:szCs w:val="24"/>
        </w:rPr>
        <w:t xml:space="preserve">geographic context of the South West. </w:t>
      </w:r>
    </w:p>
    <w:p w14:paraId="075E04C1" w14:textId="20AB4991" w:rsidR="00D61DDF" w:rsidRPr="008964F7" w:rsidRDefault="00590301" w:rsidP="00FD237A">
      <w:pPr>
        <w:rPr>
          <w:sz w:val="24"/>
          <w:szCs w:val="24"/>
        </w:rPr>
      </w:pPr>
      <w:r w:rsidRPr="008964F7">
        <w:rPr>
          <w:sz w:val="24"/>
          <w:szCs w:val="24"/>
        </w:rPr>
        <w:t>Some key initiatives highlighted in their report include:</w:t>
      </w:r>
    </w:p>
    <w:p w14:paraId="1DE7F5D0" w14:textId="78D0B0DD" w:rsidR="00E166AB" w:rsidRPr="008964F7" w:rsidRDefault="00E166AB" w:rsidP="00E166AB">
      <w:pPr>
        <w:pStyle w:val="ListParagraph"/>
        <w:numPr>
          <w:ilvl w:val="0"/>
          <w:numId w:val="6"/>
        </w:numPr>
        <w:rPr>
          <w:sz w:val="24"/>
          <w:szCs w:val="24"/>
        </w:rPr>
      </w:pPr>
      <w:r w:rsidRPr="008964F7">
        <w:rPr>
          <w:sz w:val="24"/>
          <w:szCs w:val="24"/>
        </w:rPr>
        <w:t>Point-of-care testing to reduce travel and hospital visits</w:t>
      </w:r>
      <w:r w:rsidR="00820934">
        <w:rPr>
          <w:sz w:val="24"/>
          <w:szCs w:val="24"/>
        </w:rPr>
        <w:t>,</w:t>
      </w:r>
    </w:p>
    <w:p w14:paraId="66CDEF66" w14:textId="112462E7" w:rsidR="00E166AB" w:rsidRPr="008964F7" w:rsidRDefault="00E166AB" w:rsidP="00E166AB">
      <w:pPr>
        <w:pStyle w:val="ListParagraph"/>
        <w:numPr>
          <w:ilvl w:val="0"/>
          <w:numId w:val="6"/>
        </w:numPr>
        <w:rPr>
          <w:sz w:val="24"/>
          <w:szCs w:val="24"/>
        </w:rPr>
      </w:pPr>
      <w:r w:rsidRPr="008964F7">
        <w:rPr>
          <w:sz w:val="24"/>
          <w:szCs w:val="24"/>
        </w:rPr>
        <w:t>AI-enabled remote monitoring for heart failure patients, improving medication management and reducing admissions</w:t>
      </w:r>
      <w:r w:rsidR="00820934">
        <w:rPr>
          <w:sz w:val="24"/>
          <w:szCs w:val="24"/>
        </w:rPr>
        <w:t>,</w:t>
      </w:r>
    </w:p>
    <w:p w14:paraId="0566024C" w14:textId="77777777" w:rsidR="00E166AB" w:rsidRPr="008964F7" w:rsidRDefault="00E166AB" w:rsidP="00E166AB">
      <w:pPr>
        <w:pStyle w:val="ListParagraph"/>
        <w:numPr>
          <w:ilvl w:val="0"/>
          <w:numId w:val="6"/>
        </w:numPr>
        <w:rPr>
          <w:sz w:val="24"/>
          <w:szCs w:val="24"/>
        </w:rPr>
      </w:pPr>
      <w:r w:rsidRPr="008964F7">
        <w:rPr>
          <w:sz w:val="24"/>
          <w:szCs w:val="24"/>
        </w:rPr>
        <w:t>Neonatal Oral Antibiotics at Home (NOAH), allowing earlier discharge of eligible infants.</w:t>
      </w:r>
    </w:p>
    <w:p w14:paraId="1C906C90" w14:textId="77777777" w:rsidR="004A0982" w:rsidRPr="008964F7" w:rsidRDefault="00E166AB" w:rsidP="004A0982">
      <w:pPr>
        <w:rPr>
          <w:sz w:val="24"/>
          <w:szCs w:val="24"/>
        </w:rPr>
      </w:pPr>
      <w:r w:rsidRPr="008964F7">
        <w:rPr>
          <w:sz w:val="24"/>
          <w:szCs w:val="24"/>
        </w:rPr>
        <w:t xml:space="preserve">These initiatives </w:t>
      </w:r>
      <w:r w:rsidR="003138EC" w:rsidRPr="008964F7">
        <w:rPr>
          <w:sz w:val="24"/>
          <w:szCs w:val="24"/>
        </w:rPr>
        <w:t>emphasise</w:t>
      </w:r>
      <w:r w:rsidRPr="008964F7">
        <w:rPr>
          <w:sz w:val="24"/>
          <w:szCs w:val="24"/>
        </w:rPr>
        <w:t xml:space="preserve"> the importance of</w:t>
      </w:r>
      <w:r w:rsidR="003138EC" w:rsidRPr="008964F7">
        <w:rPr>
          <w:sz w:val="24"/>
          <w:szCs w:val="24"/>
        </w:rPr>
        <w:t xml:space="preserve"> a system</w:t>
      </w:r>
      <w:r w:rsidR="00ED3EFF" w:rsidRPr="008964F7">
        <w:rPr>
          <w:sz w:val="24"/>
          <w:szCs w:val="24"/>
        </w:rPr>
        <w:t xml:space="preserve">-wide approach to innovation, by involving collaboration across Integrated Care Boards (ICBs), </w:t>
      </w:r>
      <w:r w:rsidR="00EF3AE4" w:rsidRPr="008964F7">
        <w:rPr>
          <w:sz w:val="24"/>
          <w:szCs w:val="24"/>
        </w:rPr>
        <w:t xml:space="preserve">Education, and National Health Innovation Networks. </w:t>
      </w:r>
      <w:r w:rsidR="004A0982" w:rsidRPr="008964F7">
        <w:rPr>
          <w:sz w:val="24"/>
          <w:szCs w:val="24"/>
        </w:rPr>
        <w:t>This place-based ecosystem is designed to translate innovation into real-world impact and inform national policy through insights gained from the South West’s rural and coastal context.</w:t>
      </w:r>
    </w:p>
    <w:p w14:paraId="273E1A57" w14:textId="32FE17DE" w:rsidR="00590301" w:rsidRPr="008964F7" w:rsidRDefault="004A0982" w:rsidP="004A0982">
      <w:pPr>
        <w:rPr>
          <w:sz w:val="24"/>
          <w:szCs w:val="24"/>
        </w:rPr>
      </w:pPr>
      <w:r w:rsidRPr="008964F7">
        <w:rPr>
          <w:sz w:val="24"/>
          <w:szCs w:val="24"/>
        </w:rPr>
        <w:t>The South West’s experience offers valuable lessons for other regions, particularly in addressing the health needs of ageing populations and geographically isolated communities. By prioritising innovation in these areas, there is potential to drive broader health and economic benefits across the country.</w:t>
      </w:r>
      <w:r w:rsidR="00ED3EFF" w:rsidRPr="008964F7">
        <w:rPr>
          <w:sz w:val="24"/>
          <w:szCs w:val="24"/>
        </w:rPr>
        <w:t xml:space="preserve"> </w:t>
      </w:r>
    </w:p>
    <w:p w14:paraId="0C78CD9B" w14:textId="555DDD73" w:rsidR="004E781E" w:rsidRPr="0033376A" w:rsidRDefault="00691F16" w:rsidP="00691F16">
      <w:pPr>
        <w:pStyle w:val="Heading2"/>
        <w:numPr>
          <w:ilvl w:val="1"/>
          <w:numId w:val="2"/>
        </w:numPr>
        <w:rPr>
          <w:sz w:val="24"/>
          <w:szCs w:val="24"/>
        </w:rPr>
      </w:pPr>
      <w:bookmarkStart w:id="5" w:name="_Toc201230571"/>
      <w:r w:rsidRPr="0033376A">
        <w:rPr>
          <w:sz w:val="24"/>
          <w:szCs w:val="24"/>
        </w:rPr>
        <w:t>Reflections on The Three Shifts: A Community Perspective from Torbay</w:t>
      </w:r>
      <w:bookmarkEnd w:id="5"/>
    </w:p>
    <w:p w14:paraId="2DC40E1B" w14:textId="43937718" w:rsidR="00691F16" w:rsidRPr="008964F7" w:rsidRDefault="00895173" w:rsidP="00395D08">
      <w:pPr>
        <w:rPr>
          <w:sz w:val="24"/>
          <w:szCs w:val="24"/>
        </w:rPr>
      </w:pPr>
      <w:r w:rsidRPr="008964F7">
        <w:rPr>
          <w:sz w:val="24"/>
          <w:szCs w:val="24"/>
        </w:rPr>
        <w:t xml:space="preserve">Healthwatch </w:t>
      </w:r>
      <w:r w:rsidR="004F2793" w:rsidRPr="008964F7">
        <w:rPr>
          <w:sz w:val="24"/>
          <w:szCs w:val="24"/>
        </w:rPr>
        <w:t xml:space="preserve">Devon, Plymouth and </w:t>
      </w:r>
      <w:r w:rsidRPr="008964F7">
        <w:rPr>
          <w:sz w:val="24"/>
          <w:szCs w:val="24"/>
        </w:rPr>
        <w:t>Torbay</w:t>
      </w:r>
      <w:r w:rsidR="007936C0" w:rsidRPr="008964F7">
        <w:rPr>
          <w:sz w:val="24"/>
          <w:szCs w:val="24"/>
        </w:rPr>
        <w:t xml:space="preserve"> (DPT)</w:t>
      </w:r>
      <w:r w:rsidRPr="008964F7">
        <w:rPr>
          <w:sz w:val="24"/>
          <w:szCs w:val="24"/>
        </w:rPr>
        <w:t xml:space="preserve"> </w:t>
      </w:r>
      <w:r w:rsidR="00FC1E6C" w:rsidRPr="008964F7">
        <w:rPr>
          <w:sz w:val="24"/>
          <w:szCs w:val="24"/>
        </w:rPr>
        <w:t>are</w:t>
      </w:r>
      <w:r w:rsidR="00395D08" w:rsidRPr="008964F7">
        <w:rPr>
          <w:sz w:val="24"/>
          <w:szCs w:val="24"/>
        </w:rPr>
        <w:t xml:space="preserve"> an organisation that listens to the experiences of local people using health and social care services. It works to ensure that community voices influence how services are planned and delivered, helping to improve care across the region</w:t>
      </w:r>
      <w:r w:rsidR="002C1365" w:rsidRPr="008964F7">
        <w:rPr>
          <w:sz w:val="24"/>
          <w:szCs w:val="24"/>
        </w:rPr>
        <w:t xml:space="preserve"> </w:t>
      </w:r>
      <w:r w:rsidR="002C1365" w:rsidRPr="008964F7">
        <w:rPr>
          <w:rStyle w:val="FootnoteReference"/>
          <w:sz w:val="24"/>
          <w:szCs w:val="24"/>
        </w:rPr>
        <w:footnoteReference w:id="18"/>
      </w:r>
      <w:r w:rsidR="00395D08" w:rsidRPr="008964F7">
        <w:rPr>
          <w:sz w:val="24"/>
          <w:szCs w:val="24"/>
        </w:rPr>
        <w:t>.</w:t>
      </w:r>
    </w:p>
    <w:p w14:paraId="6361B0D2" w14:textId="1B782DA5" w:rsidR="00F10097" w:rsidRPr="008964F7" w:rsidRDefault="00F10097" w:rsidP="00395D08">
      <w:pPr>
        <w:rPr>
          <w:sz w:val="24"/>
          <w:szCs w:val="24"/>
        </w:rPr>
      </w:pPr>
      <w:r w:rsidRPr="008964F7">
        <w:rPr>
          <w:sz w:val="24"/>
          <w:szCs w:val="24"/>
        </w:rPr>
        <w:t xml:space="preserve">They shared a community-focused perspective on the health </w:t>
      </w:r>
      <w:r w:rsidR="00952AF1" w:rsidRPr="008964F7">
        <w:rPr>
          <w:sz w:val="24"/>
          <w:szCs w:val="24"/>
        </w:rPr>
        <w:t xml:space="preserve">and social care challenges facing Torbay, a coastal area marked by significant socioeconomic disadvantage and </w:t>
      </w:r>
      <w:r w:rsidR="00E165E2" w:rsidRPr="008964F7">
        <w:rPr>
          <w:sz w:val="24"/>
          <w:szCs w:val="24"/>
        </w:rPr>
        <w:t>demographic</w:t>
      </w:r>
      <w:r w:rsidR="00952AF1" w:rsidRPr="008964F7">
        <w:rPr>
          <w:sz w:val="24"/>
          <w:szCs w:val="24"/>
        </w:rPr>
        <w:t xml:space="preserve"> pressures</w:t>
      </w:r>
      <w:r w:rsidR="00E73E9D" w:rsidRPr="008964F7">
        <w:rPr>
          <w:sz w:val="24"/>
          <w:szCs w:val="24"/>
        </w:rPr>
        <w:t xml:space="preserve">. </w:t>
      </w:r>
    </w:p>
    <w:p w14:paraId="569B5148" w14:textId="3645D6CE" w:rsidR="00EC23A0" w:rsidRPr="008964F7" w:rsidRDefault="00EC23A0" w:rsidP="00395D08">
      <w:pPr>
        <w:rPr>
          <w:sz w:val="24"/>
          <w:szCs w:val="24"/>
        </w:rPr>
      </w:pPr>
      <w:r w:rsidRPr="008964F7">
        <w:rPr>
          <w:sz w:val="24"/>
          <w:szCs w:val="24"/>
        </w:rPr>
        <w:t>Key challenges identified were:</w:t>
      </w:r>
    </w:p>
    <w:p w14:paraId="4EACCB30" w14:textId="1914ED2B" w:rsidR="00EC23A0" w:rsidRPr="008964F7" w:rsidRDefault="00EC23A0" w:rsidP="00EC23A0">
      <w:pPr>
        <w:pStyle w:val="ListParagraph"/>
        <w:numPr>
          <w:ilvl w:val="0"/>
          <w:numId w:val="6"/>
        </w:numPr>
        <w:rPr>
          <w:sz w:val="24"/>
          <w:szCs w:val="24"/>
        </w:rPr>
      </w:pPr>
      <w:r w:rsidRPr="008964F7">
        <w:rPr>
          <w:sz w:val="24"/>
          <w:szCs w:val="24"/>
        </w:rPr>
        <w:t xml:space="preserve">Economic Disadvantage </w:t>
      </w:r>
      <w:r w:rsidR="00AE6B7A" w:rsidRPr="008964F7">
        <w:rPr>
          <w:sz w:val="24"/>
          <w:szCs w:val="24"/>
        </w:rPr>
        <w:t>–</w:t>
      </w:r>
      <w:r w:rsidRPr="008964F7">
        <w:rPr>
          <w:sz w:val="24"/>
          <w:szCs w:val="24"/>
        </w:rPr>
        <w:t xml:space="preserve"> </w:t>
      </w:r>
      <w:r w:rsidR="00AE6B7A" w:rsidRPr="008964F7">
        <w:rPr>
          <w:sz w:val="24"/>
          <w:szCs w:val="24"/>
        </w:rPr>
        <w:t xml:space="preserve">Torbay’s economy is heavily reliant on tourism. This </w:t>
      </w:r>
      <w:r w:rsidR="00E01C7D" w:rsidRPr="008964F7">
        <w:rPr>
          <w:sz w:val="24"/>
          <w:szCs w:val="24"/>
        </w:rPr>
        <w:t xml:space="preserve">results in low-paid, </w:t>
      </w:r>
      <w:r w:rsidR="00E73E9D" w:rsidRPr="008964F7">
        <w:rPr>
          <w:sz w:val="24"/>
          <w:szCs w:val="24"/>
        </w:rPr>
        <w:t>insecure,</w:t>
      </w:r>
      <w:r w:rsidR="00E01C7D" w:rsidRPr="008964F7">
        <w:rPr>
          <w:sz w:val="24"/>
          <w:szCs w:val="24"/>
        </w:rPr>
        <w:t xml:space="preserve"> and seasonal employment. The Torbay area has one of the lowest median </w:t>
      </w:r>
      <w:r w:rsidR="00E01C7D" w:rsidRPr="008964F7">
        <w:rPr>
          <w:sz w:val="24"/>
          <w:szCs w:val="24"/>
        </w:rPr>
        <w:lastRenderedPageBreak/>
        <w:t>wages in the United Kingdom</w:t>
      </w:r>
      <w:r w:rsidR="00C5567A" w:rsidRPr="008964F7">
        <w:rPr>
          <w:sz w:val="24"/>
          <w:szCs w:val="24"/>
        </w:rPr>
        <w:t xml:space="preserve"> alongside a high demand for social housing</w:t>
      </w:r>
      <w:r w:rsidR="00F611F6" w:rsidRPr="008964F7">
        <w:rPr>
          <w:sz w:val="24"/>
          <w:szCs w:val="24"/>
        </w:rPr>
        <w:t xml:space="preserve"> </w:t>
      </w:r>
      <w:r w:rsidR="00F611F6" w:rsidRPr="008964F7">
        <w:rPr>
          <w:rStyle w:val="FootnoteReference"/>
          <w:sz w:val="24"/>
          <w:szCs w:val="24"/>
        </w:rPr>
        <w:footnoteReference w:id="19"/>
      </w:r>
      <w:r w:rsidR="00C5567A" w:rsidRPr="008964F7">
        <w:rPr>
          <w:sz w:val="24"/>
          <w:szCs w:val="24"/>
        </w:rPr>
        <w:t xml:space="preserve">. </w:t>
      </w:r>
    </w:p>
    <w:p w14:paraId="34A16705" w14:textId="2704170E" w:rsidR="00C5567A" w:rsidRPr="008964F7" w:rsidRDefault="00C5567A" w:rsidP="00EC23A0">
      <w:pPr>
        <w:pStyle w:val="ListParagraph"/>
        <w:numPr>
          <w:ilvl w:val="0"/>
          <w:numId w:val="6"/>
        </w:numPr>
        <w:rPr>
          <w:sz w:val="24"/>
          <w:szCs w:val="24"/>
        </w:rPr>
      </w:pPr>
      <w:r w:rsidRPr="008964F7">
        <w:rPr>
          <w:sz w:val="24"/>
          <w:szCs w:val="24"/>
        </w:rPr>
        <w:t>Ageing Population</w:t>
      </w:r>
      <w:r w:rsidR="00D62C2C" w:rsidRPr="008964F7">
        <w:rPr>
          <w:sz w:val="24"/>
          <w:szCs w:val="24"/>
        </w:rPr>
        <w:t xml:space="preserve"> – The average age in Torbay is 49, so compared to the UK average of 40, Torbay is experiencing rapid</w:t>
      </w:r>
      <w:r w:rsidR="00AF48DA" w:rsidRPr="008964F7">
        <w:rPr>
          <w:sz w:val="24"/>
          <w:szCs w:val="24"/>
        </w:rPr>
        <w:t xml:space="preserve"> demographic ageing. It is projected that by 2045, nearly half the working age population will be over 65</w:t>
      </w:r>
      <w:r w:rsidR="005E0F31" w:rsidRPr="008964F7">
        <w:rPr>
          <w:sz w:val="24"/>
          <w:szCs w:val="24"/>
        </w:rPr>
        <w:t xml:space="preserve"> </w:t>
      </w:r>
      <w:r w:rsidR="005E0F31" w:rsidRPr="008964F7">
        <w:rPr>
          <w:rStyle w:val="FootnoteReference"/>
          <w:sz w:val="24"/>
          <w:szCs w:val="24"/>
        </w:rPr>
        <w:footnoteReference w:id="20"/>
      </w:r>
      <w:r w:rsidR="00AF48DA" w:rsidRPr="008964F7">
        <w:rPr>
          <w:sz w:val="24"/>
          <w:szCs w:val="24"/>
        </w:rPr>
        <w:t xml:space="preserve">. </w:t>
      </w:r>
    </w:p>
    <w:p w14:paraId="105586DD" w14:textId="4F794E16" w:rsidR="00AF48DA" w:rsidRPr="008964F7" w:rsidRDefault="001E174B" w:rsidP="00EC23A0">
      <w:pPr>
        <w:pStyle w:val="ListParagraph"/>
        <w:numPr>
          <w:ilvl w:val="0"/>
          <w:numId w:val="6"/>
        </w:numPr>
        <w:rPr>
          <w:sz w:val="24"/>
          <w:szCs w:val="24"/>
        </w:rPr>
      </w:pPr>
      <w:r w:rsidRPr="008964F7">
        <w:rPr>
          <w:sz w:val="24"/>
          <w:szCs w:val="24"/>
        </w:rPr>
        <w:t>Housing and Crime – Poor quality housing and rising crime rates, particularly in town centres</w:t>
      </w:r>
      <w:r w:rsidR="00984E75" w:rsidRPr="008964F7">
        <w:rPr>
          <w:sz w:val="24"/>
          <w:szCs w:val="24"/>
        </w:rPr>
        <w:t xml:space="preserve"> are further exacerbating health and wellbeing issues. </w:t>
      </w:r>
    </w:p>
    <w:p w14:paraId="7B4B5855" w14:textId="3D6762DF" w:rsidR="00984E75" w:rsidRPr="008964F7" w:rsidRDefault="009230EA" w:rsidP="00EC23A0">
      <w:pPr>
        <w:pStyle w:val="ListParagraph"/>
        <w:numPr>
          <w:ilvl w:val="0"/>
          <w:numId w:val="6"/>
        </w:numPr>
        <w:rPr>
          <w:sz w:val="24"/>
          <w:szCs w:val="24"/>
        </w:rPr>
      </w:pPr>
      <w:r w:rsidRPr="008964F7">
        <w:rPr>
          <w:sz w:val="24"/>
          <w:szCs w:val="24"/>
        </w:rPr>
        <w:t xml:space="preserve">Health Inequalities – There is a life expectancy gap of over eight years within the region, </w:t>
      </w:r>
      <w:r w:rsidR="0032362F" w:rsidRPr="008964F7">
        <w:rPr>
          <w:sz w:val="24"/>
          <w:szCs w:val="24"/>
        </w:rPr>
        <w:t xml:space="preserve">which is further compounded by high levels of loneliness, </w:t>
      </w:r>
      <w:r w:rsidR="00E73E9D" w:rsidRPr="008964F7">
        <w:rPr>
          <w:sz w:val="24"/>
          <w:szCs w:val="24"/>
        </w:rPr>
        <w:t>anxiety,</w:t>
      </w:r>
      <w:r w:rsidR="0032362F" w:rsidRPr="008964F7">
        <w:rPr>
          <w:sz w:val="24"/>
          <w:szCs w:val="24"/>
        </w:rPr>
        <w:t xml:space="preserve"> and early entry into care homes</w:t>
      </w:r>
      <w:r w:rsidR="00BB7412" w:rsidRPr="008964F7">
        <w:rPr>
          <w:sz w:val="24"/>
          <w:szCs w:val="24"/>
        </w:rPr>
        <w:t xml:space="preserve"> </w:t>
      </w:r>
      <w:r w:rsidR="00BB7412" w:rsidRPr="008964F7">
        <w:rPr>
          <w:rStyle w:val="FootnoteReference"/>
          <w:sz w:val="24"/>
          <w:szCs w:val="24"/>
        </w:rPr>
        <w:footnoteReference w:id="21"/>
      </w:r>
      <w:r w:rsidR="0032362F" w:rsidRPr="008964F7">
        <w:rPr>
          <w:sz w:val="24"/>
          <w:szCs w:val="24"/>
        </w:rPr>
        <w:t xml:space="preserve">. </w:t>
      </w:r>
    </w:p>
    <w:p w14:paraId="715EDD52" w14:textId="410CF0D7" w:rsidR="006D74C8" w:rsidRPr="008964F7" w:rsidRDefault="007303CB" w:rsidP="006A39CA">
      <w:pPr>
        <w:rPr>
          <w:sz w:val="24"/>
          <w:szCs w:val="24"/>
        </w:rPr>
      </w:pPr>
      <w:r w:rsidRPr="008964F7">
        <w:rPr>
          <w:sz w:val="24"/>
          <w:szCs w:val="24"/>
        </w:rPr>
        <w:t xml:space="preserve">Addressing these </w:t>
      </w:r>
      <w:r w:rsidR="0085005D" w:rsidRPr="008964F7">
        <w:rPr>
          <w:sz w:val="24"/>
          <w:szCs w:val="24"/>
        </w:rPr>
        <w:t>complex and interrelated challenges requires a strategic and community-c</w:t>
      </w:r>
      <w:r w:rsidR="000D4E64" w:rsidRPr="008964F7">
        <w:rPr>
          <w:sz w:val="24"/>
          <w:szCs w:val="24"/>
        </w:rPr>
        <w:t>e</w:t>
      </w:r>
      <w:r w:rsidR="0085005D" w:rsidRPr="008964F7">
        <w:rPr>
          <w:sz w:val="24"/>
          <w:szCs w:val="24"/>
        </w:rPr>
        <w:t>ntred approach</w:t>
      </w:r>
      <w:r w:rsidR="006A39CA" w:rsidRPr="008964F7">
        <w:rPr>
          <w:sz w:val="24"/>
          <w:szCs w:val="24"/>
        </w:rPr>
        <w:t xml:space="preserve">. </w:t>
      </w:r>
      <w:r w:rsidR="0073493F" w:rsidRPr="008964F7">
        <w:rPr>
          <w:sz w:val="24"/>
          <w:szCs w:val="24"/>
        </w:rPr>
        <w:t xml:space="preserve">Healthwatch </w:t>
      </w:r>
      <w:r w:rsidR="007936C0" w:rsidRPr="008964F7">
        <w:rPr>
          <w:sz w:val="24"/>
          <w:szCs w:val="24"/>
        </w:rPr>
        <w:t>DPT</w:t>
      </w:r>
      <w:r w:rsidR="0073493F" w:rsidRPr="008964F7">
        <w:rPr>
          <w:sz w:val="24"/>
          <w:szCs w:val="24"/>
        </w:rPr>
        <w:t xml:space="preserve"> </w:t>
      </w:r>
      <w:r w:rsidR="001964A9" w:rsidRPr="008964F7">
        <w:rPr>
          <w:sz w:val="24"/>
          <w:szCs w:val="24"/>
        </w:rPr>
        <w:t xml:space="preserve">described </w:t>
      </w:r>
      <w:r w:rsidR="006A39CA" w:rsidRPr="008964F7">
        <w:rPr>
          <w:sz w:val="24"/>
          <w:szCs w:val="24"/>
        </w:rPr>
        <w:t xml:space="preserve">ways </w:t>
      </w:r>
      <w:r w:rsidR="00D3393A" w:rsidRPr="008964F7">
        <w:rPr>
          <w:sz w:val="24"/>
          <w:szCs w:val="24"/>
        </w:rPr>
        <w:t xml:space="preserve">to </w:t>
      </w:r>
      <w:r w:rsidR="00C9277E" w:rsidRPr="008964F7">
        <w:rPr>
          <w:sz w:val="24"/>
          <w:szCs w:val="24"/>
        </w:rPr>
        <w:t>use the Three Shifts Framework to transform health and care delivery</w:t>
      </w:r>
      <w:r w:rsidR="00D3393A" w:rsidRPr="008964F7">
        <w:rPr>
          <w:sz w:val="24"/>
          <w:szCs w:val="24"/>
        </w:rPr>
        <w:t xml:space="preserve"> in coastal areas like Torbay</w:t>
      </w:r>
      <w:r w:rsidR="00F75E00">
        <w:rPr>
          <w:sz w:val="24"/>
          <w:szCs w:val="24"/>
        </w:rPr>
        <w:t>:</w:t>
      </w:r>
      <w:r w:rsidR="008C3867" w:rsidRPr="008964F7">
        <w:rPr>
          <w:sz w:val="24"/>
          <w:szCs w:val="24"/>
        </w:rPr>
        <w:t xml:space="preserve"> </w:t>
      </w:r>
    </w:p>
    <w:p w14:paraId="1C65631B" w14:textId="5C34EB86" w:rsidR="00067E72" w:rsidRPr="008964F7" w:rsidRDefault="00067E72" w:rsidP="009C41D9">
      <w:pPr>
        <w:pStyle w:val="ListParagraph"/>
        <w:numPr>
          <w:ilvl w:val="0"/>
          <w:numId w:val="7"/>
        </w:numPr>
        <w:rPr>
          <w:sz w:val="24"/>
          <w:szCs w:val="24"/>
        </w:rPr>
      </w:pPr>
      <w:r w:rsidRPr="008964F7">
        <w:rPr>
          <w:sz w:val="24"/>
          <w:szCs w:val="24"/>
        </w:rPr>
        <w:t>Shift 1: From Hospital to Community</w:t>
      </w:r>
      <w:r w:rsidR="009C41D9" w:rsidRPr="008964F7">
        <w:rPr>
          <w:sz w:val="24"/>
          <w:szCs w:val="24"/>
        </w:rPr>
        <w:br/>
        <w:t xml:space="preserve">This shift places strong emphasis on delivering care within communities, through initiatives such as social prescribing, befriending schemes, and volunteering opportunities. </w:t>
      </w:r>
      <w:r w:rsidR="00A644B3" w:rsidRPr="008964F7">
        <w:rPr>
          <w:sz w:val="24"/>
          <w:szCs w:val="24"/>
        </w:rPr>
        <w:t xml:space="preserve">Healthwatch DPT suggested </w:t>
      </w:r>
      <w:r w:rsidR="009C41D9" w:rsidRPr="008964F7">
        <w:rPr>
          <w:sz w:val="24"/>
          <w:szCs w:val="24"/>
        </w:rPr>
        <w:t>strengthening support for carers and expanding the role of Patient Participation Groups (PPGs) to drive local health action. Practical examples of this approach include the delivery of COVID-19 vaccinations in community settings and the provision of small grants to empower grassroots health initiatives.</w:t>
      </w:r>
    </w:p>
    <w:p w14:paraId="0302283A" w14:textId="1C3B29B2" w:rsidR="008042BF" w:rsidRPr="008964F7" w:rsidRDefault="008042BF" w:rsidP="009C41D9">
      <w:pPr>
        <w:pStyle w:val="ListParagraph"/>
        <w:numPr>
          <w:ilvl w:val="0"/>
          <w:numId w:val="7"/>
        </w:numPr>
        <w:rPr>
          <w:sz w:val="24"/>
          <w:szCs w:val="24"/>
        </w:rPr>
      </w:pPr>
      <w:r w:rsidRPr="008964F7">
        <w:rPr>
          <w:sz w:val="24"/>
          <w:szCs w:val="24"/>
        </w:rPr>
        <w:t>Shift 2: Fro</w:t>
      </w:r>
      <w:r w:rsidR="00CC6A0F" w:rsidRPr="008964F7">
        <w:rPr>
          <w:sz w:val="24"/>
          <w:szCs w:val="24"/>
        </w:rPr>
        <w:t>m Analogue to Digital</w:t>
      </w:r>
      <w:r w:rsidR="00CC6A0F" w:rsidRPr="008964F7">
        <w:rPr>
          <w:sz w:val="24"/>
          <w:szCs w:val="24"/>
        </w:rPr>
        <w:br/>
      </w:r>
      <w:r w:rsidR="00993ADC" w:rsidRPr="008964F7">
        <w:rPr>
          <w:sz w:val="24"/>
          <w:szCs w:val="24"/>
        </w:rPr>
        <w:t>This shift highlights the underutilisation of existing technologies and the need to raise public awareness of available digital tools</w:t>
      </w:r>
      <w:r w:rsidR="003D3613" w:rsidRPr="008964F7">
        <w:rPr>
          <w:sz w:val="24"/>
          <w:szCs w:val="24"/>
        </w:rPr>
        <w:t xml:space="preserve">. </w:t>
      </w:r>
      <w:r w:rsidR="005D7AB7">
        <w:rPr>
          <w:sz w:val="24"/>
          <w:szCs w:val="24"/>
        </w:rPr>
        <w:t xml:space="preserve">Healthwatch DPT </w:t>
      </w:r>
      <w:r w:rsidR="003D3613" w:rsidRPr="008964F7">
        <w:rPr>
          <w:sz w:val="24"/>
          <w:szCs w:val="24"/>
        </w:rPr>
        <w:t>advocates for the use of personalised digital solutions to</w:t>
      </w:r>
      <w:r w:rsidR="009700CE" w:rsidRPr="008964F7">
        <w:rPr>
          <w:sz w:val="24"/>
          <w:szCs w:val="24"/>
        </w:rPr>
        <w:t xml:space="preserve"> support self-care a</w:t>
      </w:r>
      <w:r w:rsidR="004B41A5">
        <w:rPr>
          <w:sz w:val="24"/>
          <w:szCs w:val="24"/>
        </w:rPr>
        <w:t>n</w:t>
      </w:r>
      <w:r w:rsidR="009700CE" w:rsidRPr="008964F7">
        <w:rPr>
          <w:sz w:val="24"/>
          <w:szCs w:val="24"/>
        </w:rPr>
        <w:t xml:space="preserve">d enable remote health monitoring. A practical example of this in Torbay is </w:t>
      </w:r>
      <w:r w:rsidR="00D203DD" w:rsidRPr="008964F7">
        <w:rPr>
          <w:sz w:val="24"/>
          <w:szCs w:val="24"/>
        </w:rPr>
        <w:t>t</w:t>
      </w:r>
      <w:r w:rsidR="009700CE" w:rsidRPr="008964F7">
        <w:rPr>
          <w:sz w:val="24"/>
          <w:szCs w:val="24"/>
        </w:rPr>
        <w:t>he implementation of</w:t>
      </w:r>
      <w:r w:rsidR="00A67D90" w:rsidRPr="008964F7">
        <w:rPr>
          <w:sz w:val="24"/>
          <w:szCs w:val="24"/>
        </w:rPr>
        <w:t xml:space="preserve"> blood pressure testing in public libraries, where monitors can be borrowed by residents, improving access to preventative care.</w:t>
      </w:r>
    </w:p>
    <w:p w14:paraId="0658B10D" w14:textId="4DCCE431" w:rsidR="00A67D90" w:rsidRPr="008964F7" w:rsidRDefault="00A67D90" w:rsidP="001B20AF">
      <w:pPr>
        <w:pStyle w:val="ListParagraph"/>
        <w:numPr>
          <w:ilvl w:val="0"/>
          <w:numId w:val="7"/>
        </w:numPr>
        <w:rPr>
          <w:sz w:val="24"/>
          <w:szCs w:val="24"/>
        </w:rPr>
      </w:pPr>
      <w:r w:rsidRPr="008964F7">
        <w:rPr>
          <w:sz w:val="24"/>
          <w:szCs w:val="24"/>
        </w:rPr>
        <w:t>Shift 3: From Hospital to Community</w:t>
      </w:r>
      <w:r w:rsidRPr="008964F7">
        <w:rPr>
          <w:sz w:val="24"/>
          <w:szCs w:val="24"/>
        </w:rPr>
        <w:br/>
      </w:r>
      <w:r w:rsidR="007936C0" w:rsidRPr="008964F7">
        <w:rPr>
          <w:sz w:val="24"/>
          <w:szCs w:val="24"/>
        </w:rPr>
        <w:t>When referring to this final shift, Healthwatch DPT called for a holistic, community-led ap</w:t>
      </w:r>
      <w:r w:rsidR="00E6642E" w:rsidRPr="008964F7">
        <w:rPr>
          <w:sz w:val="24"/>
          <w:szCs w:val="24"/>
        </w:rPr>
        <w:t xml:space="preserve">proach to health, addressing social determinants such as poverty and housing. They encouraged </w:t>
      </w:r>
      <w:r w:rsidR="001B20AF" w:rsidRPr="008964F7">
        <w:rPr>
          <w:sz w:val="24"/>
          <w:szCs w:val="24"/>
        </w:rPr>
        <w:t xml:space="preserve">co-design and co-delivery of services, and the empowerment of communities to take ownership of local health initiatives. </w:t>
      </w:r>
    </w:p>
    <w:p w14:paraId="68A362D9" w14:textId="3756C113" w:rsidR="001B20AF" w:rsidRPr="008964F7" w:rsidRDefault="00276E8C" w:rsidP="00CF77EC">
      <w:pPr>
        <w:rPr>
          <w:sz w:val="24"/>
          <w:szCs w:val="24"/>
        </w:rPr>
      </w:pPr>
      <w:r w:rsidRPr="008964F7">
        <w:rPr>
          <w:sz w:val="24"/>
          <w:szCs w:val="24"/>
        </w:rPr>
        <w:t xml:space="preserve">The advocation </w:t>
      </w:r>
      <w:r w:rsidR="00CF77EC" w:rsidRPr="008964F7">
        <w:rPr>
          <w:sz w:val="24"/>
          <w:szCs w:val="24"/>
        </w:rPr>
        <w:t xml:space="preserve">for a revitalised town centre through the development of high-density, eco-friendly housing and supported living spaces was </w:t>
      </w:r>
      <w:r w:rsidR="0050290D" w:rsidRPr="008964F7">
        <w:rPr>
          <w:sz w:val="24"/>
          <w:szCs w:val="24"/>
        </w:rPr>
        <w:t xml:space="preserve">evident, as well as </w:t>
      </w:r>
      <w:r w:rsidR="00900D5A" w:rsidRPr="008964F7">
        <w:rPr>
          <w:sz w:val="24"/>
          <w:szCs w:val="24"/>
        </w:rPr>
        <w:t>the</w:t>
      </w:r>
      <w:r w:rsidR="0050290D" w:rsidRPr="008964F7">
        <w:rPr>
          <w:sz w:val="24"/>
          <w:szCs w:val="24"/>
        </w:rPr>
        <w:t xml:space="preserve"> importance of using coastal </w:t>
      </w:r>
      <w:r w:rsidR="003F0EFC" w:rsidRPr="008964F7">
        <w:rPr>
          <w:sz w:val="24"/>
          <w:szCs w:val="24"/>
        </w:rPr>
        <w:t>communities</w:t>
      </w:r>
      <w:r w:rsidR="0050290D" w:rsidRPr="008964F7">
        <w:rPr>
          <w:sz w:val="24"/>
          <w:szCs w:val="24"/>
        </w:rPr>
        <w:t xml:space="preserve"> like Torbay as a testing ground for national policy, given their advan</w:t>
      </w:r>
      <w:r w:rsidR="003F0EFC" w:rsidRPr="008964F7">
        <w:rPr>
          <w:sz w:val="24"/>
          <w:szCs w:val="24"/>
        </w:rPr>
        <w:t>ced demographic and economic challenges.</w:t>
      </w:r>
    </w:p>
    <w:p w14:paraId="7E590937" w14:textId="3E224FFD" w:rsidR="00067E72" w:rsidRPr="00067E72" w:rsidRDefault="00067E72" w:rsidP="00067E72">
      <w:pPr>
        <w:ind w:left="360"/>
        <w:rPr>
          <w:sz w:val="24"/>
          <w:szCs w:val="24"/>
        </w:rPr>
      </w:pPr>
    </w:p>
    <w:p w14:paraId="7AD61B66" w14:textId="61CEA9C0" w:rsidR="00955614" w:rsidRDefault="000B4D3A" w:rsidP="008238C9">
      <w:pPr>
        <w:pStyle w:val="Heading2"/>
      </w:pPr>
      <w:bookmarkStart w:id="6" w:name="_Toc201230572"/>
      <w:r>
        <w:t xml:space="preserve">2.0 </w:t>
      </w:r>
      <w:r w:rsidR="00216EB0">
        <w:t>The Questions</w:t>
      </w:r>
      <w:bookmarkEnd w:id="6"/>
    </w:p>
    <w:p w14:paraId="1F9B5BB9" w14:textId="073359B7" w:rsidR="00216EB0" w:rsidRPr="008964F7" w:rsidRDefault="000F0CA5" w:rsidP="00216EB0">
      <w:pPr>
        <w:rPr>
          <w:sz w:val="24"/>
          <w:szCs w:val="24"/>
        </w:rPr>
      </w:pPr>
      <w:r w:rsidRPr="008964F7">
        <w:rPr>
          <w:sz w:val="24"/>
          <w:szCs w:val="24"/>
        </w:rPr>
        <w:t>The following questions were presented to the South West Clinical Senate for deliberation</w:t>
      </w:r>
      <w:r w:rsidR="00B43A61" w:rsidRPr="008964F7">
        <w:rPr>
          <w:sz w:val="24"/>
          <w:szCs w:val="24"/>
        </w:rPr>
        <w:t xml:space="preserve"> during the </w:t>
      </w:r>
      <w:r w:rsidR="00B43A61" w:rsidRPr="008964F7">
        <w:rPr>
          <w:sz w:val="24"/>
          <w:szCs w:val="24"/>
        </w:rPr>
        <w:lastRenderedPageBreak/>
        <w:t>meeting</w:t>
      </w:r>
      <w:r w:rsidRPr="008964F7">
        <w:rPr>
          <w:sz w:val="24"/>
          <w:szCs w:val="24"/>
        </w:rPr>
        <w:t>:</w:t>
      </w:r>
    </w:p>
    <w:p w14:paraId="136C2D72" w14:textId="77777777" w:rsidR="00322F86" w:rsidRPr="008964F7" w:rsidRDefault="00B43A61" w:rsidP="00EE6D7E">
      <w:pPr>
        <w:rPr>
          <w:sz w:val="24"/>
          <w:szCs w:val="24"/>
        </w:rPr>
      </w:pPr>
      <w:r w:rsidRPr="008964F7">
        <w:rPr>
          <w:sz w:val="24"/>
          <w:szCs w:val="24"/>
        </w:rPr>
        <w:t>How does geography impact on the 3 Shifts; with a specific focus on coastal communities</w:t>
      </w:r>
      <w:r w:rsidR="00322F86" w:rsidRPr="008964F7">
        <w:rPr>
          <w:sz w:val="24"/>
          <w:szCs w:val="24"/>
        </w:rPr>
        <w:t>:</w:t>
      </w:r>
    </w:p>
    <w:p w14:paraId="787B57BA" w14:textId="77777777" w:rsidR="00322F86" w:rsidRPr="008964F7" w:rsidRDefault="00EE6D7E" w:rsidP="001E4EEB">
      <w:pPr>
        <w:pStyle w:val="ListParagraph"/>
        <w:numPr>
          <w:ilvl w:val="0"/>
          <w:numId w:val="9"/>
        </w:numPr>
        <w:rPr>
          <w:sz w:val="24"/>
          <w:szCs w:val="24"/>
        </w:rPr>
      </w:pPr>
      <w:r w:rsidRPr="008964F7">
        <w:rPr>
          <w:sz w:val="24"/>
          <w:szCs w:val="24"/>
        </w:rPr>
        <w:t>Why does innovation in rural and coastal places need to be prioritised, understood and supported in national policy and local strategies?</w:t>
      </w:r>
    </w:p>
    <w:p w14:paraId="5E9EB295" w14:textId="77777777" w:rsidR="00322F86" w:rsidRPr="008964F7" w:rsidRDefault="00EE6D7E" w:rsidP="003772DC">
      <w:pPr>
        <w:pStyle w:val="ListParagraph"/>
        <w:numPr>
          <w:ilvl w:val="0"/>
          <w:numId w:val="9"/>
        </w:numPr>
        <w:rPr>
          <w:sz w:val="24"/>
          <w:szCs w:val="24"/>
        </w:rPr>
      </w:pPr>
      <w:r w:rsidRPr="008964F7">
        <w:rPr>
          <w:sz w:val="24"/>
          <w:szCs w:val="24"/>
        </w:rPr>
        <w:t>How can we create the right conditions that drive the adoption of innovation in coastal communities?</w:t>
      </w:r>
    </w:p>
    <w:p w14:paraId="62B5BBDF" w14:textId="3AA55044" w:rsidR="00C10831" w:rsidRPr="008964F7" w:rsidRDefault="00EE6D7E" w:rsidP="008B5474">
      <w:pPr>
        <w:pStyle w:val="ListParagraph"/>
        <w:numPr>
          <w:ilvl w:val="0"/>
          <w:numId w:val="9"/>
        </w:numPr>
        <w:rPr>
          <w:sz w:val="24"/>
          <w:szCs w:val="24"/>
        </w:rPr>
      </w:pPr>
      <w:r w:rsidRPr="008964F7">
        <w:rPr>
          <w:sz w:val="24"/>
          <w:szCs w:val="24"/>
        </w:rPr>
        <w:t>What could be the mitigations and solutions to the geographical issues fac</w:t>
      </w:r>
      <w:r w:rsidR="00FA3C15" w:rsidRPr="008964F7">
        <w:rPr>
          <w:sz w:val="24"/>
          <w:szCs w:val="24"/>
        </w:rPr>
        <w:t>ing</w:t>
      </w:r>
      <w:r w:rsidRPr="008964F7">
        <w:rPr>
          <w:sz w:val="24"/>
          <w:szCs w:val="24"/>
        </w:rPr>
        <w:t xml:space="preserve"> coastal communities?</w:t>
      </w:r>
    </w:p>
    <w:p w14:paraId="03FE8689" w14:textId="0B8AB105" w:rsidR="000F0CA5" w:rsidRPr="008964F7" w:rsidRDefault="00EE6D7E" w:rsidP="008B5474">
      <w:pPr>
        <w:pStyle w:val="ListParagraph"/>
        <w:numPr>
          <w:ilvl w:val="0"/>
          <w:numId w:val="9"/>
        </w:numPr>
        <w:rPr>
          <w:sz w:val="24"/>
          <w:szCs w:val="24"/>
        </w:rPr>
      </w:pPr>
      <w:r w:rsidRPr="008964F7">
        <w:rPr>
          <w:sz w:val="24"/>
          <w:szCs w:val="24"/>
        </w:rPr>
        <w:t>How can we engage with newly retired people moving to coastal communities to support their health and wellbeing in the future?</w:t>
      </w:r>
    </w:p>
    <w:p w14:paraId="69FEACD0" w14:textId="118D180C" w:rsidR="008238C9" w:rsidRDefault="008238C9" w:rsidP="008238C9">
      <w:pPr>
        <w:pStyle w:val="Heading2"/>
      </w:pPr>
      <w:bookmarkStart w:id="7" w:name="_Toc201230573"/>
      <w:r>
        <w:t>3.0 Recommendations</w:t>
      </w:r>
      <w:bookmarkEnd w:id="7"/>
    </w:p>
    <w:p w14:paraId="1F0D3E75" w14:textId="5E436DE6" w:rsidR="00F04936" w:rsidRPr="00323BB9" w:rsidRDefault="006F5491" w:rsidP="00F04936">
      <w:pPr>
        <w:rPr>
          <w:sz w:val="24"/>
          <w:szCs w:val="24"/>
        </w:rPr>
      </w:pPr>
      <w:r w:rsidRPr="00323BB9">
        <w:rPr>
          <w:sz w:val="24"/>
          <w:szCs w:val="24"/>
        </w:rPr>
        <w:t xml:space="preserve">The South West Clinical Senate makes the following recommendations:  </w:t>
      </w:r>
    </w:p>
    <w:p w14:paraId="4627A904" w14:textId="77A56801" w:rsidR="005624DB" w:rsidRPr="008964F7" w:rsidRDefault="00323BB9" w:rsidP="008964F7">
      <w:pPr>
        <w:pStyle w:val="Heading2"/>
        <w:rPr>
          <w:sz w:val="24"/>
          <w:szCs w:val="24"/>
        </w:rPr>
      </w:pPr>
      <w:bookmarkStart w:id="8" w:name="_Toc201230574"/>
      <w:r w:rsidRPr="008964F7">
        <w:rPr>
          <w:sz w:val="24"/>
          <w:szCs w:val="24"/>
        </w:rPr>
        <w:t xml:space="preserve">3.1 </w:t>
      </w:r>
      <w:r w:rsidR="005624DB" w:rsidRPr="008964F7">
        <w:rPr>
          <w:sz w:val="24"/>
          <w:szCs w:val="24"/>
        </w:rPr>
        <w:t>Innovative and Community-Based Care</w:t>
      </w:r>
      <w:bookmarkEnd w:id="8"/>
    </w:p>
    <w:p w14:paraId="026C1470" w14:textId="77777777" w:rsidR="004B41A5" w:rsidRDefault="005624DB" w:rsidP="0067323F">
      <w:pPr>
        <w:rPr>
          <w:sz w:val="24"/>
          <w:szCs w:val="24"/>
        </w:rPr>
      </w:pPr>
      <w:r w:rsidRPr="00323BB9">
        <w:rPr>
          <w:sz w:val="24"/>
          <w:szCs w:val="24"/>
        </w:rPr>
        <w:t xml:space="preserve">Innovation should encompass both new ideas and the adaptation </w:t>
      </w:r>
      <w:r w:rsidR="004B41A5">
        <w:rPr>
          <w:sz w:val="24"/>
          <w:szCs w:val="24"/>
        </w:rPr>
        <w:t xml:space="preserve">and mobilisation </w:t>
      </w:r>
      <w:r w:rsidRPr="00323BB9">
        <w:rPr>
          <w:sz w:val="24"/>
          <w:szCs w:val="24"/>
        </w:rPr>
        <w:t xml:space="preserve">of effective past solutions. </w:t>
      </w:r>
      <w:r w:rsidR="00163BD2">
        <w:rPr>
          <w:sz w:val="24"/>
          <w:szCs w:val="24"/>
        </w:rPr>
        <w:t xml:space="preserve">The council recommends </w:t>
      </w:r>
      <w:r w:rsidR="004B41A5">
        <w:rPr>
          <w:sz w:val="24"/>
          <w:szCs w:val="24"/>
        </w:rPr>
        <w:t xml:space="preserve">strongly </w:t>
      </w:r>
      <w:r w:rsidR="00810FD1">
        <w:rPr>
          <w:sz w:val="24"/>
          <w:szCs w:val="24"/>
        </w:rPr>
        <w:t>advocating for</w:t>
      </w:r>
      <w:r w:rsidRPr="00323BB9">
        <w:rPr>
          <w:sz w:val="24"/>
          <w:szCs w:val="24"/>
        </w:rPr>
        <w:t xml:space="preserve"> community-based care over reliance on </w:t>
      </w:r>
      <w:r w:rsidR="00C94FCE">
        <w:rPr>
          <w:sz w:val="24"/>
          <w:szCs w:val="24"/>
        </w:rPr>
        <w:t>acute</w:t>
      </w:r>
      <w:r w:rsidRPr="00323BB9">
        <w:rPr>
          <w:sz w:val="24"/>
          <w:szCs w:val="24"/>
        </w:rPr>
        <w:t xml:space="preserve"> hospitals </w:t>
      </w:r>
      <w:r w:rsidR="004B41A5">
        <w:rPr>
          <w:sz w:val="24"/>
          <w:szCs w:val="24"/>
        </w:rPr>
        <w:t xml:space="preserve">in future health and social care planning, </w:t>
      </w:r>
      <w:r w:rsidR="00163BD2">
        <w:rPr>
          <w:sz w:val="24"/>
          <w:szCs w:val="24"/>
        </w:rPr>
        <w:t xml:space="preserve">as this </w:t>
      </w:r>
      <w:r w:rsidRPr="00323BB9">
        <w:rPr>
          <w:sz w:val="24"/>
          <w:szCs w:val="24"/>
        </w:rPr>
        <w:t xml:space="preserve">can enhance accessibility and provide </w:t>
      </w:r>
      <w:r w:rsidR="004B41A5">
        <w:rPr>
          <w:sz w:val="24"/>
          <w:szCs w:val="24"/>
        </w:rPr>
        <w:t xml:space="preserve">better </w:t>
      </w:r>
      <w:r w:rsidRPr="00323BB9">
        <w:rPr>
          <w:sz w:val="24"/>
          <w:szCs w:val="24"/>
        </w:rPr>
        <w:t xml:space="preserve">personalised care. </w:t>
      </w:r>
    </w:p>
    <w:p w14:paraId="32E3CABE" w14:textId="72E694F1" w:rsidR="001D21F0" w:rsidRDefault="00AC2C75" w:rsidP="0067323F">
      <w:pPr>
        <w:rPr>
          <w:sz w:val="24"/>
          <w:szCs w:val="24"/>
        </w:rPr>
      </w:pPr>
      <w:r>
        <w:rPr>
          <w:sz w:val="24"/>
          <w:szCs w:val="24"/>
        </w:rPr>
        <w:t xml:space="preserve">It is worth noting the importance of early </w:t>
      </w:r>
      <w:r w:rsidR="004B41A5">
        <w:rPr>
          <w:sz w:val="24"/>
          <w:szCs w:val="24"/>
        </w:rPr>
        <w:t xml:space="preserve">health </w:t>
      </w:r>
      <w:r>
        <w:rPr>
          <w:sz w:val="24"/>
          <w:szCs w:val="24"/>
        </w:rPr>
        <w:t xml:space="preserve">screening on </w:t>
      </w:r>
      <w:r w:rsidR="004B41A5">
        <w:rPr>
          <w:sz w:val="24"/>
          <w:szCs w:val="24"/>
        </w:rPr>
        <w:t xml:space="preserve">improving </w:t>
      </w:r>
      <w:r>
        <w:rPr>
          <w:sz w:val="24"/>
          <w:szCs w:val="24"/>
        </w:rPr>
        <w:t>health outcomes</w:t>
      </w:r>
      <w:r w:rsidR="004B41A5">
        <w:rPr>
          <w:sz w:val="24"/>
          <w:szCs w:val="24"/>
        </w:rPr>
        <w:t xml:space="preserve"> for both younger and older people.</w:t>
      </w:r>
      <w:r>
        <w:rPr>
          <w:sz w:val="24"/>
          <w:szCs w:val="24"/>
        </w:rPr>
        <w:t xml:space="preserve"> </w:t>
      </w:r>
      <w:r w:rsidR="004B41A5">
        <w:rPr>
          <w:sz w:val="24"/>
          <w:szCs w:val="24"/>
        </w:rPr>
        <w:t xml:space="preserve">Therefore, </w:t>
      </w:r>
      <w:r w:rsidR="0067323F">
        <w:rPr>
          <w:sz w:val="24"/>
          <w:szCs w:val="24"/>
        </w:rPr>
        <w:t>lowering the age threshold for routine screening and hea</w:t>
      </w:r>
      <w:r w:rsidR="004E4EEA">
        <w:rPr>
          <w:sz w:val="24"/>
          <w:szCs w:val="24"/>
        </w:rPr>
        <w:t>lth checks could</w:t>
      </w:r>
      <w:r w:rsidR="00236A8D">
        <w:rPr>
          <w:sz w:val="24"/>
          <w:szCs w:val="24"/>
        </w:rPr>
        <w:t xml:space="preserve"> </w:t>
      </w:r>
      <w:r w:rsidR="004B41A5">
        <w:rPr>
          <w:sz w:val="24"/>
          <w:szCs w:val="24"/>
        </w:rPr>
        <w:t>have long-term benefits for coastal communities</w:t>
      </w:r>
      <w:r w:rsidR="004E4EEA">
        <w:rPr>
          <w:sz w:val="24"/>
          <w:szCs w:val="24"/>
        </w:rPr>
        <w:t xml:space="preserve">. </w:t>
      </w:r>
      <w:r w:rsidR="00012BC4">
        <w:rPr>
          <w:sz w:val="24"/>
          <w:szCs w:val="24"/>
        </w:rPr>
        <w:t xml:space="preserve">Using the ‘Nurses on Tour’ health assessment model delivered by nursing students could be beneficial to delivery of these </w:t>
      </w:r>
      <w:r w:rsidR="00B059C4">
        <w:rPr>
          <w:sz w:val="24"/>
          <w:szCs w:val="24"/>
        </w:rPr>
        <w:t>initiatives</w:t>
      </w:r>
      <w:r w:rsidR="00012BC4">
        <w:rPr>
          <w:sz w:val="24"/>
          <w:szCs w:val="24"/>
        </w:rPr>
        <w:t>.</w:t>
      </w:r>
    </w:p>
    <w:p w14:paraId="2BFCA72B" w14:textId="77777777" w:rsidR="001D21F0" w:rsidRDefault="004E4EEA" w:rsidP="0067323F">
      <w:pPr>
        <w:rPr>
          <w:sz w:val="24"/>
          <w:szCs w:val="24"/>
        </w:rPr>
      </w:pPr>
      <w:r>
        <w:rPr>
          <w:sz w:val="24"/>
          <w:szCs w:val="24"/>
        </w:rPr>
        <w:t xml:space="preserve">Furthermore, promoting the use of </w:t>
      </w:r>
      <w:r w:rsidR="00701D2C">
        <w:rPr>
          <w:sz w:val="24"/>
          <w:szCs w:val="24"/>
        </w:rPr>
        <w:t>digital tools for self-he</w:t>
      </w:r>
      <w:r w:rsidR="00C85635">
        <w:rPr>
          <w:sz w:val="24"/>
          <w:szCs w:val="24"/>
        </w:rPr>
        <w:t>alth</w:t>
      </w:r>
      <w:r w:rsidR="00661DC5">
        <w:rPr>
          <w:sz w:val="24"/>
          <w:szCs w:val="24"/>
        </w:rPr>
        <w:t xml:space="preserve"> assessments to identify early warning signs and encourage proactive</w:t>
      </w:r>
      <w:r w:rsidR="00E31A75">
        <w:rPr>
          <w:sz w:val="24"/>
          <w:szCs w:val="24"/>
        </w:rPr>
        <w:t xml:space="preserve"> health</w:t>
      </w:r>
      <w:r w:rsidR="000F0028">
        <w:rPr>
          <w:sz w:val="24"/>
          <w:szCs w:val="24"/>
        </w:rPr>
        <w:t xml:space="preserve"> management</w:t>
      </w:r>
      <w:r w:rsidR="004B41A5">
        <w:rPr>
          <w:sz w:val="24"/>
          <w:szCs w:val="24"/>
        </w:rPr>
        <w:t xml:space="preserve"> could also improve population health and well-being</w:t>
      </w:r>
      <w:r w:rsidR="000F0028">
        <w:rPr>
          <w:sz w:val="24"/>
          <w:szCs w:val="24"/>
        </w:rPr>
        <w:t xml:space="preserve">. </w:t>
      </w:r>
    </w:p>
    <w:p w14:paraId="38B741F1" w14:textId="788F9D3F" w:rsidR="0067323F" w:rsidRDefault="000F0028" w:rsidP="0067323F">
      <w:pPr>
        <w:rPr>
          <w:sz w:val="24"/>
          <w:szCs w:val="24"/>
        </w:rPr>
      </w:pPr>
      <w:r>
        <w:rPr>
          <w:sz w:val="24"/>
          <w:szCs w:val="24"/>
        </w:rPr>
        <w:t xml:space="preserve">There is </w:t>
      </w:r>
      <w:r w:rsidR="004B41A5">
        <w:rPr>
          <w:sz w:val="24"/>
          <w:szCs w:val="24"/>
        </w:rPr>
        <w:t xml:space="preserve">a </w:t>
      </w:r>
      <w:r>
        <w:rPr>
          <w:sz w:val="24"/>
          <w:szCs w:val="24"/>
        </w:rPr>
        <w:t xml:space="preserve"> need for proactive engagement with younger populations</w:t>
      </w:r>
      <w:r w:rsidR="00D24B16">
        <w:rPr>
          <w:sz w:val="24"/>
          <w:szCs w:val="24"/>
        </w:rPr>
        <w:t xml:space="preserve"> </w:t>
      </w:r>
      <w:r w:rsidR="00A47ADF">
        <w:rPr>
          <w:sz w:val="24"/>
          <w:szCs w:val="24"/>
        </w:rPr>
        <w:t>as</w:t>
      </w:r>
      <w:r w:rsidR="00D24B16">
        <w:rPr>
          <w:sz w:val="24"/>
          <w:szCs w:val="24"/>
        </w:rPr>
        <w:t xml:space="preserve"> health issues are emerging earlier</w:t>
      </w:r>
      <w:r w:rsidR="00523938">
        <w:rPr>
          <w:sz w:val="24"/>
          <w:szCs w:val="24"/>
        </w:rPr>
        <w:t>. T</w:t>
      </w:r>
      <w:r w:rsidR="00651B1A">
        <w:rPr>
          <w:sz w:val="24"/>
          <w:szCs w:val="24"/>
        </w:rPr>
        <w:t>herefore</w:t>
      </w:r>
      <w:r w:rsidR="00523938">
        <w:rPr>
          <w:sz w:val="24"/>
          <w:szCs w:val="24"/>
        </w:rPr>
        <w:t>,</w:t>
      </w:r>
      <w:r w:rsidR="00651B1A">
        <w:rPr>
          <w:sz w:val="24"/>
          <w:szCs w:val="24"/>
        </w:rPr>
        <w:t xml:space="preserve"> targeted health education and </w:t>
      </w:r>
      <w:r w:rsidR="0087410E">
        <w:rPr>
          <w:sz w:val="24"/>
          <w:szCs w:val="24"/>
        </w:rPr>
        <w:t>preventative</w:t>
      </w:r>
      <w:r w:rsidR="00651B1A">
        <w:rPr>
          <w:sz w:val="24"/>
          <w:szCs w:val="24"/>
        </w:rPr>
        <w:t xml:space="preserve"> measures</w:t>
      </w:r>
      <w:r w:rsidR="0087410E">
        <w:rPr>
          <w:sz w:val="24"/>
          <w:szCs w:val="24"/>
        </w:rPr>
        <w:t xml:space="preserve"> would be useful to explore</w:t>
      </w:r>
      <w:r w:rsidR="004B41A5">
        <w:rPr>
          <w:sz w:val="24"/>
          <w:szCs w:val="24"/>
        </w:rPr>
        <w:t xml:space="preserve"> for the younger age groups including school children</w:t>
      </w:r>
      <w:r w:rsidR="0087410E">
        <w:rPr>
          <w:sz w:val="24"/>
          <w:szCs w:val="24"/>
        </w:rPr>
        <w:t xml:space="preserve">. </w:t>
      </w:r>
    </w:p>
    <w:p w14:paraId="1F58D99A" w14:textId="32CB4CFE" w:rsidR="005624DB" w:rsidRPr="0033376A" w:rsidRDefault="006452C7" w:rsidP="0033376A">
      <w:pPr>
        <w:pStyle w:val="Heading2"/>
        <w:rPr>
          <w:sz w:val="24"/>
          <w:szCs w:val="24"/>
        </w:rPr>
      </w:pPr>
      <w:bookmarkStart w:id="9" w:name="_Toc201230575"/>
      <w:r w:rsidRPr="0033376A">
        <w:rPr>
          <w:sz w:val="24"/>
          <w:szCs w:val="24"/>
        </w:rPr>
        <w:t>3.</w:t>
      </w:r>
      <w:r w:rsidR="005624DB" w:rsidRPr="0033376A">
        <w:rPr>
          <w:sz w:val="24"/>
          <w:szCs w:val="24"/>
        </w:rPr>
        <w:t>2 Digital Literacy and Technology Integration</w:t>
      </w:r>
      <w:bookmarkEnd w:id="9"/>
    </w:p>
    <w:p w14:paraId="34DEEA12" w14:textId="6981567A" w:rsidR="001D21F0" w:rsidRDefault="005624DB" w:rsidP="005624DB">
      <w:pPr>
        <w:rPr>
          <w:sz w:val="24"/>
          <w:szCs w:val="24"/>
        </w:rPr>
      </w:pPr>
      <w:r w:rsidRPr="00323BB9">
        <w:rPr>
          <w:sz w:val="24"/>
          <w:szCs w:val="24"/>
        </w:rPr>
        <w:t>Intergenerational digital literacy programmes</w:t>
      </w:r>
      <w:r w:rsidR="004B41A5">
        <w:rPr>
          <w:sz w:val="24"/>
          <w:szCs w:val="24"/>
        </w:rPr>
        <w:t xml:space="preserve"> should be considered</w:t>
      </w:r>
      <w:r w:rsidRPr="00323BB9">
        <w:rPr>
          <w:sz w:val="24"/>
          <w:szCs w:val="24"/>
        </w:rPr>
        <w:t xml:space="preserve">, where students teach older adults to use technology, </w:t>
      </w:r>
      <w:r w:rsidR="004B41A5">
        <w:rPr>
          <w:sz w:val="24"/>
          <w:szCs w:val="24"/>
        </w:rPr>
        <w:t xml:space="preserve">this </w:t>
      </w:r>
      <w:r w:rsidRPr="00323BB9">
        <w:rPr>
          <w:sz w:val="24"/>
          <w:szCs w:val="24"/>
        </w:rPr>
        <w:t>can foster</w:t>
      </w:r>
      <w:r w:rsidR="00780298">
        <w:rPr>
          <w:sz w:val="24"/>
          <w:szCs w:val="24"/>
        </w:rPr>
        <w:t xml:space="preserve"> and</w:t>
      </w:r>
      <w:r w:rsidR="00805B86">
        <w:rPr>
          <w:sz w:val="24"/>
          <w:szCs w:val="24"/>
        </w:rPr>
        <w:t xml:space="preserve"> </w:t>
      </w:r>
      <w:r w:rsidR="004B41A5">
        <w:rPr>
          <w:sz w:val="24"/>
          <w:szCs w:val="24"/>
        </w:rPr>
        <w:t xml:space="preserve">not only improve </w:t>
      </w:r>
      <w:r w:rsidRPr="00323BB9">
        <w:rPr>
          <w:sz w:val="24"/>
          <w:szCs w:val="24"/>
        </w:rPr>
        <w:t xml:space="preserve">digital literacy </w:t>
      </w:r>
      <w:r w:rsidR="001D21F0">
        <w:rPr>
          <w:sz w:val="24"/>
          <w:szCs w:val="24"/>
        </w:rPr>
        <w:t xml:space="preserve">but also </w:t>
      </w:r>
      <w:r w:rsidRPr="00323BB9">
        <w:rPr>
          <w:sz w:val="24"/>
          <w:szCs w:val="24"/>
        </w:rPr>
        <w:t xml:space="preserve">strengthen community bonds. </w:t>
      </w:r>
    </w:p>
    <w:p w14:paraId="28D408F1" w14:textId="77777777" w:rsidR="001D21F0" w:rsidRDefault="005624DB" w:rsidP="005624DB">
      <w:pPr>
        <w:rPr>
          <w:sz w:val="24"/>
          <w:szCs w:val="24"/>
        </w:rPr>
      </w:pPr>
      <w:r w:rsidRPr="00323BB9">
        <w:rPr>
          <w:sz w:val="24"/>
          <w:szCs w:val="24"/>
        </w:rPr>
        <w:t xml:space="preserve">Ensuring ongoing digital literacy support and tailoring the NHS App to local populations for targeted health messaging will help all community members benefit from digital health tools. </w:t>
      </w:r>
    </w:p>
    <w:p w14:paraId="2EA0BB85" w14:textId="051A75E5" w:rsidR="005624DB" w:rsidRPr="00323BB9" w:rsidRDefault="005624DB" w:rsidP="005624DB">
      <w:pPr>
        <w:rPr>
          <w:sz w:val="24"/>
          <w:szCs w:val="24"/>
        </w:rPr>
      </w:pPr>
      <w:r w:rsidRPr="00323BB9">
        <w:rPr>
          <w:sz w:val="24"/>
          <w:szCs w:val="24"/>
        </w:rPr>
        <w:t>Additionally, utilising anonymised health data, such as Dorset's DiiS System, can empower communities to understand</w:t>
      </w:r>
      <w:r w:rsidR="001D21F0">
        <w:rPr>
          <w:sz w:val="24"/>
          <w:szCs w:val="24"/>
        </w:rPr>
        <w:t xml:space="preserve"> their health needs</w:t>
      </w:r>
      <w:r w:rsidRPr="00323BB9">
        <w:rPr>
          <w:sz w:val="24"/>
          <w:szCs w:val="24"/>
        </w:rPr>
        <w:t xml:space="preserve"> and act on local health trends.</w:t>
      </w:r>
      <w:r w:rsidR="001D21F0">
        <w:rPr>
          <w:sz w:val="24"/>
          <w:szCs w:val="24"/>
        </w:rPr>
        <w:t xml:space="preserve"> This would also benefit local health and care professionals so they can better tailor the services to these needs.</w:t>
      </w:r>
    </w:p>
    <w:p w14:paraId="1A24C24C" w14:textId="671E4E0A" w:rsidR="005624DB" w:rsidRPr="0033376A" w:rsidRDefault="00CB0375" w:rsidP="0033376A">
      <w:pPr>
        <w:pStyle w:val="Heading2"/>
        <w:rPr>
          <w:sz w:val="24"/>
          <w:szCs w:val="24"/>
        </w:rPr>
      </w:pPr>
      <w:bookmarkStart w:id="10" w:name="_Toc201230576"/>
      <w:r w:rsidRPr="0033376A">
        <w:rPr>
          <w:sz w:val="24"/>
          <w:szCs w:val="24"/>
        </w:rPr>
        <w:lastRenderedPageBreak/>
        <w:t>3.</w:t>
      </w:r>
      <w:r w:rsidR="005624DB" w:rsidRPr="0033376A">
        <w:rPr>
          <w:sz w:val="24"/>
          <w:szCs w:val="24"/>
        </w:rPr>
        <w:t>3 Utilisation of Community Assets and Resources</w:t>
      </w:r>
      <w:bookmarkEnd w:id="10"/>
    </w:p>
    <w:p w14:paraId="5B0A52AB" w14:textId="74CFD296" w:rsidR="00DB5688" w:rsidRDefault="005624DB" w:rsidP="005624DB">
      <w:pPr>
        <w:rPr>
          <w:sz w:val="24"/>
          <w:szCs w:val="24"/>
        </w:rPr>
      </w:pPr>
      <w:r w:rsidRPr="00323BB9">
        <w:rPr>
          <w:sz w:val="24"/>
          <w:szCs w:val="24"/>
        </w:rPr>
        <w:t xml:space="preserve">Better </w:t>
      </w:r>
      <w:r w:rsidR="003F3A01">
        <w:rPr>
          <w:sz w:val="24"/>
          <w:szCs w:val="24"/>
        </w:rPr>
        <w:t>use</w:t>
      </w:r>
      <w:r w:rsidRPr="00323BB9">
        <w:rPr>
          <w:sz w:val="24"/>
          <w:szCs w:val="24"/>
        </w:rPr>
        <w:t xml:space="preserve"> of underutilised community assets, such as buildings and spaces, can support health and social care initiatives. Repurposing schools</w:t>
      </w:r>
      <w:r w:rsidR="00DB5688">
        <w:rPr>
          <w:sz w:val="24"/>
          <w:szCs w:val="24"/>
        </w:rPr>
        <w:t xml:space="preserve"> when not in use during weekends and holidays</w:t>
      </w:r>
      <w:r w:rsidRPr="00323BB9">
        <w:rPr>
          <w:sz w:val="24"/>
          <w:szCs w:val="24"/>
        </w:rPr>
        <w:t xml:space="preserve"> and other </w:t>
      </w:r>
      <w:r w:rsidR="003F3A01">
        <w:rPr>
          <w:sz w:val="24"/>
          <w:szCs w:val="24"/>
        </w:rPr>
        <w:t xml:space="preserve">empty </w:t>
      </w:r>
      <w:r w:rsidR="006D2992">
        <w:rPr>
          <w:sz w:val="24"/>
          <w:szCs w:val="24"/>
        </w:rPr>
        <w:t>commercial</w:t>
      </w:r>
      <w:r w:rsidRPr="00323BB9">
        <w:rPr>
          <w:sz w:val="24"/>
          <w:szCs w:val="24"/>
        </w:rPr>
        <w:t xml:space="preserve"> buildings for </w:t>
      </w:r>
      <w:r w:rsidR="00DB5688">
        <w:rPr>
          <w:sz w:val="24"/>
          <w:szCs w:val="24"/>
        </w:rPr>
        <w:t xml:space="preserve">delivering local </w:t>
      </w:r>
      <w:r w:rsidRPr="00323BB9">
        <w:rPr>
          <w:sz w:val="24"/>
          <w:szCs w:val="24"/>
        </w:rPr>
        <w:t xml:space="preserve">health </w:t>
      </w:r>
      <w:r w:rsidR="00DB5688">
        <w:rPr>
          <w:sz w:val="24"/>
          <w:szCs w:val="24"/>
        </w:rPr>
        <w:t xml:space="preserve">and care interventions </w:t>
      </w:r>
      <w:r w:rsidRPr="00323BB9">
        <w:rPr>
          <w:sz w:val="24"/>
          <w:szCs w:val="24"/>
        </w:rPr>
        <w:t xml:space="preserve"> maximises resource utilisation. </w:t>
      </w:r>
    </w:p>
    <w:p w14:paraId="0F3EADDC" w14:textId="06F76B6F" w:rsidR="005624DB" w:rsidRPr="00323BB9" w:rsidRDefault="005624DB" w:rsidP="005624DB">
      <w:pPr>
        <w:rPr>
          <w:sz w:val="24"/>
          <w:szCs w:val="24"/>
        </w:rPr>
      </w:pPr>
      <w:r w:rsidRPr="00323BB9">
        <w:rPr>
          <w:sz w:val="24"/>
          <w:szCs w:val="24"/>
        </w:rPr>
        <w:t>Creating volunteering opportunities for newly retired individuals</w:t>
      </w:r>
      <w:r w:rsidR="00DB5688">
        <w:rPr>
          <w:sz w:val="24"/>
          <w:szCs w:val="24"/>
        </w:rPr>
        <w:t>, especially those new to the area.</w:t>
      </w:r>
      <w:r w:rsidRPr="00323BB9">
        <w:rPr>
          <w:sz w:val="24"/>
          <w:szCs w:val="24"/>
        </w:rPr>
        <w:t xml:space="preserve"> </w:t>
      </w:r>
      <w:r w:rsidR="00DB5688">
        <w:rPr>
          <w:sz w:val="24"/>
          <w:szCs w:val="24"/>
        </w:rPr>
        <w:t xml:space="preserve">This would </w:t>
      </w:r>
      <w:r w:rsidRPr="00323BB9">
        <w:rPr>
          <w:sz w:val="24"/>
          <w:szCs w:val="24"/>
        </w:rPr>
        <w:t>includ</w:t>
      </w:r>
      <w:r w:rsidR="00DB5688">
        <w:rPr>
          <w:sz w:val="24"/>
          <w:szCs w:val="24"/>
        </w:rPr>
        <w:t>e</w:t>
      </w:r>
      <w:r w:rsidRPr="00323BB9">
        <w:rPr>
          <w:sz w:val="24"/>
          <w:szCs w:val="24"/>
        </w:rPr>
        <w:t xml:space="preserve"> community engagement information </w:t>
      </w:r>
      <w:r w:rsidR="00DB5688">
        <w:rPr>
          <w:sz w:val="24"/>
          <w:szCs w:val="24"/>
        </w:rPr>
        <w:t xml:space="preserve">provided </w:t>
      </w:r>
      <w:r w:rsidRPr="00323BB9">
        <w:rPr>
          <w:sz w:val="24"/>
          <w:szCs w:val="24"/>
        </w:rPr>
        <w:t xml:space="preserve">during </w:t>
      </w:r>
      <w:r w:rsidR="00DB5688">
        <w:rPr>
          <w:sz w:val="24"/>
          <w:szCs w:val="24"/>
        </w:rPr>
        <w:t>Primary Care</w:t>
      </w:r>
      <w:r w:rsidRPr="00323BB9">
        <w:rPr>
          <w:sz w:val="24"/>
          <w:szCs w:val="24"/>
        </w:rPr>
        <w:t xml:space="preserve"> </w:t>
      </w:r>
      <w:r w:rsidR="001F1FB1">
        <w:rPr>
          <w:sz w:val="24"/>
          <w:szCs w:val="24"/>
        </w:rPr>
        <w:t>‘</w:t>
      </w:r>
      <w:r w:rsidRPr="00323BB9">
        <w:rPr>
          <w:sz w:val="24"/>
          <w:szCs w:val="24"/>
        </w:rPr>
        <w:t>new patient</w:t>
      </w:r>
      <w:r w:rsidR="001F1FB1">
        <w:rPr>
          <w:sz w:val="24"/>
          <w:szCs w:val="24"/>
        </w:rPr>
        <w:t>’</w:t>
      </w:r>
      <w:r w:rsidRPr="00323BB9">
        <w:rPr>
          <w:sz w:val="24"/>
          <w:szCs w:val="24"/>
        </w:rPr>
        <w:t xml:space="preserve"> appointments and </w:t>
      </w:r>
      <w:r w:rsidR="00DB5688">
        <w:rPr>
          <w:sz w:val="24"/>
          <w:szCs w:val="24"/>
        </w:rPr>
        <w:t>‘</w:t>
      </w:r>
      <w:r w:rsidRPr="00323BB9">
        <w:rPr>
          <w:sz w:val="24"/>
          <w:szCs w:val="24"/>
        </w:rPr>
        <w:t>health checks</w:t>
      </w:r>
      <w:r w:rsidR="00DB5688">
        <w:rPr>
          <w:sz w:val="24"/>
          <w:szCs w:val="24"/>
        </w:rPr>
        <w:t>’</w:t>
      </w:r>
      <w:r w:rsidRPr="00323BB9">
        <w:rPr>
          <w:sz w:val="24"/>
          <w:szCs w:val="24"/>
        </w:rPr>
        <w:t xml:space="preserve"> </w:t>
      </w:r>
      <w:r w:rsidR="00E566C8">
        <w:rPr>
          <w:sz w:val="24"/>
          <w:szCs w:val="24"/>
        </w:rPr>
        <w:t xml:space="preserve"> to</w:t>
      </w:r>
      <w:r w:rsidRPr="00323BB9">
        <w:rPr>
          <w:sz w:val="24"/>
          <w:szCs w:val="24"/>
        </w:rPr>
        <w:t xml:space="preserve"> encourage active participation in local health initiatives</w:t>
      </w:r>
      <w:r w:rsidR="00DB5688">
        <w:rPr>
          <w:sz w:val="24"/>
          <w:szCs w:val="24"/>
        </w:rPr>
        <w:t xml:space="preserve"> and volunteering</w:t>
      </w:r>
      <w:r w:rsidRPr="00323BB9">
        <w:rPr>
          <w:sz w:val="24"/>
          <w:szCs w:val="24"/>
        </w:rPr>
        <w:t>.</w:t>
      </w:r>
    </w:p>
    <w:p w14:paraId="161A8B2A" w14:textId="6C82E805" w:rsidR="005624DB" w:rsidRPr="0033376A" w:rsidRDefault="002A606B" w:rsidP="0033376A">
      <w:pPr>
        <w:pStyle w:val="Heading2"/>
        <w:rPr>
          <w:sz w:val="24"/>
          <w:szCs w:val="24"/>
        </w:rPr>
      </w:pPr>
      <w:bookmarkStart w:id="11" w:name="_Toc201230577"/>
      <w:r w:rsidRPr="0033376A">
        <w:rPr>
          <w:sz w:val="24"/>
          <w:szCs w:val="24"/>
        </w:rPr>
        <w:t>3.</w:t>
      </w:r>
      <w:r w:rsidR="005624DB" w:rsidRPr="0033376A">
        <w:rPr>
          <w:sz w:val="24"/>
          <w:szCs w:val="24"/>
        </w:rPr>
        <w:t>4 Collaboration and Integration</w:t>
      </w:r>
      <w:bookmarkEnd w:id="11"/>
    </w:p>
    <w:p w14:paraId="35BD0A4B" w14:textId="348E3230" w:rsidR="001F1FB1" w:rsidRDefault="005624DB" w:rsidP="005624DB">
      <w:pPr>
        <w:rPr>
          <w:sz w:val="24"/>
          <w:szCs w:val="24"/>
        </w:rPr>
      </w:pPr>
      <w:r w:rsidRPr="00323BB9">
        <w:rPr>
          <w:sz w:val="24"/>
          <w:szCs w:val="24"/>
        </w:rPr>
        <w:t>Cross-sector collaboration between health, social care, and community services is essential for creating a more integrated and effective support system. Breaking down silos and fostering a cohesive support system</w:t>
      </w:r>
      <w:r w:rsidR="001F1FB1">
        <w:rPr>
          <w:sz w:val="24"/>
          <w:szCs w:val="24"/>
        </w:rPr>
        <w:t xml:space="preserve"> orientated around the specific needs of the different coastal communities is essential.</w:t>
      </w:r>
      <w:r w:rsidRPr="00323BB9">
        <w:rPr>
          <w:sz w:val="24"/>
          <w:szCs w:val="24"/>
        </w:rPr>
        <w:t xml:space="preserve"> </w:t>
      </w:r>
    </w:p>
    <w:p w14:paraId="46965184" w14:textId="594C3F6A" w:rsidR="001F1FB1" w:rsidRDefault="001F1FB1" w:rsidP="005624DB">
      <w:pPr>
        <w:rPr>
          <w:sz w:val="24"/>
          <w:szCs w:val="24"/>
        </w:rPr>
      </w:pPr>
      <w:r>
        <w:rPr>
          <w:sz w:val="24"/>
          <w:szCs w:val="24"/>
        </w:rPr>
        <w:t xml:space="preserve">This could be </w:t>
      </w:r>
      <w:r w:rsidR="005624DB" w:rsidRPr="00323BB9">
        <w:rPr>
          <w:sz w:val="24"/>
          <w:szCs w:val="24"/>
        </w:rPr>
        <w:t xml:space="preserve">driven by parish councils and local </w:t>
      </w:r>
      <w:r w:rsidRPr="00323BB9">
        <w:rPr>
          <w:sz w:val="24"/>
          <w:szCs w:val="24"/>
        </w:rPr>
        <w:t>networks and</w:t>
      </w:r>
      <w:r>
        <w:rPr>
          <w:sz w:val="24"/>
          <w:szCs w:val="24"/>
        </w:rPr>
        <w:t xml:space="preserve"> </w:t>
      </w:r>
      <w:r w:rsidR="005624DB" w:rsidRPr="00323BB9">
        <w:rPr>
          <w:sz w:val="24"/>
          <w:szCs w:val="24"/>
        </w:rPr>
        <w:t xml:space="preserve">will enhance community-led initiatives. </w:t>
      </w:r>
      <w:r>
        <w:rPr>
          <w:sz w:val="24"/>
          <w:szCs w:val="24"/>
        </w:rPr>
        <w:t xml:space="preserve">It is recommended that the planning of health and care service delivery should involve these local organisations and Primary Care PPGs. </w:t>
      </w:r>
    </w:p>
    <w:p w14:paraId="13598EF8" w14:textId="19ADD387" w:rsidR="005624DB" w:rsidRPr="00323BB9" w:rsidRDefault="005624DB" w:rsidP="005624DB">
      <w:pPr>
        <w:rPr>
          <w:sz w:val="24"/>
          <w:szCs w:val="24"/>
        </w:rPr>
      </w:pPr>
      <w:r w:rsidRPr="00323BB9">
        <w:rPr>
          <w:sz w:val="24"/>
          <w:szCs w:val="24"/>
        </w:rPr>
        <w:t>Revisiting successful COVID-era innovations, such as patient-initiated follow-ups (PIFU), can further improve patient autonomy and care efficiency.</w:t>
      </w:r>
    </w:p>
    <w:p w14:paraId="27733456" w14:textId="1C357629" w:rsidR="005624DB" w:rsidRPr="0033376A" w:rsidRDefault="00EF7B7A" w:rsidP="0033376A">
      <w:pPr>
        <w:pStyle w:val="Heading2"/>
        <w:rPr>
          <w:sz w:val="24"/>
          <w:szCs w:val="24"/>
        </w:rPr>
      </w:pPr>
      <w:bookmarkStart w:id="12" w:name="_Toc201230578"/>
      <w:r w:rsidRPr="0033376A">
        <w:rPr>
          <w:sz w:val="24"/>
          <w:szCs w:val="24"/>
        </w:rPr>
        <w:t>3.</w:t>
      </w:r>
      <w:r w:rsidR="005624DB" w:rsidRPr="0033376A">
        <w:rPr>
          <w:sz w:val="24"/>
          <w:szCs w:val="24"/>
        </w:rPr>
        <w:t>5 Addressing Regional and Local Needs</w:t>
      </w:r>
      <w:bookmarkEnd w:id="12"/>
    </w:p>
    <w:p w14:paraId="6A822A9C" w14:textId="54EA0DF7" w:rsidR="001F1FB1" w:rsidRDefault="005624DB" w:rsidP="005624DB">
      <w:pPr>
        <w:rPr>
          <w:sz w:val="24"/>
          <w:szCs w:val="24"/>
        </w:rPr>
      </w:pPr>
      <w:r w:rsidRPr="00323BB9">
        <w:rPr>
          <w:sz w:val="24"/>
          <w:szCs w:val="24"/>
        </w:rPr>
        <w:t xml:space="preserve">Addressing regional disparities, particularly in the often-overlooked South West region, is crucial. </w:t>
      </w:r>
      <w:r w:rsidR="001F1FB1">
        <w:rPr>
          <w:sz w:val="24"/>
          <w:szCs w:val="24"/>
        </w:rPr>
        <w:t>Planning and innovative s</w:t>
      </w:r>
      <w:r w:rsidRPr="00323BB9">
        <w:rPr>
          <w:sz w:val="24"/>
          <w:szCs w:val="24"/>
        </w:rPr>
        <w:t xml:space="preserve">olutions must consider local contexts and specific community </w:t>
      </w:r>
      <w:r w:rsidR="001F1FB1">
        <w:rPr>
          <w:sz w:val="24"/>
          <w:szCs w:val="24"/>
        </w:rPr>
        <w:t xml:space="preserve">characteristics and health and care </w:t>
      </w:r>
      <w:r w:rsidRPr="00323BB9">
        <w:rPr>
          <w:sz w:val="24"/>
          <w:szCs w:val="24"/>
        </w:rPr>
        <w:t xml:space="preserve">needs. </w:t>
      </w:r>
      <w:r w:rsidR="00EF379F">
        <w:rPr>
          <w:sz w:val="24"/>
          <w:szCs w:val="24"/>
        </w:rPr>
        <w:t>For example, i</w:t>
      </w:r>
      <w:r w:rsidRPr="00323BB9">
        <w:rPr>
          <w:sz w:val="24"/>
          <w:szCs w:val="24"/>
        </w:rPr>
        <w:t xml:space="preserve">mproving transport infrastructure for coastal communities, balancing the economic prioritisation of tourism </w:t>
      </w:r>
      <w:r w:rsidR="001F1FB1">
        <w:rPr>
          <w:sz w:val="24"/>
          <w:szCs w:val="24"/>
        </w:rPr>
        <w:t>alongside</w:t>
      </w:r>
      <w:r w:rsidRPr="00323BB9">
        <w:rPr>
          <w:sz w:val="24"/>
          <w:szCs w:val="24"/>
        </w:rPr>
        <w:t xml:space="preserve"> resident needs, and engaging second homeowners in community activities are key steps. </w:t>
      </w:r>
    </w:p>
    <w:p w14:paraId="09AB9EFD" w14:textId="6B9C6957" w:rsidR="005624DB" w:rsidRPr="00323BB9" w:rsidRDefault="005624DB" w:rsidP="005624DB">
      <w:pPr>
        <w:rPr>
          <w:sz w:val="24"/>
          <w:szCs w:val="24"/>
        </w:rPr>
      </w:pPr>
      <w:r w:rsidRPr="00323BB9">
        <w:rPr>
          <w:sz w:val="24"/>
          <w:szCs w:val="24"/>
        </w:rPr>
        <w:t>Additionally, addressing transport and digital barriers, especially in off-season periods, will improve connectivity and access</w:t>
      </w:r>
      <w:r w:rsidR="004B7F06">
        <w:rPr>
          <w:sz w:val="24"/>
          <w:szCs w:val="24"/>
        </w:rPr>
        <w:t xml:space="preserve"> to services</w:t>
      </w:r>
      <w:r w:rsidRPr="00323BB9">
        <w:rPr>
          <w:sz w:val="24"/>
          <w:szCs w:val="24"/>
        </w:rPr>
        <w:t>.</w:t>
      </w:r>
    </w:p>
    <w:p w14:paraId="2B79F26D" w14:textId="03A5931C" w:rsidR="005624DB" w:rsidRPr="0033376A" w:rsidRDefault="004B7F06" w:rsidP="0033376A">
      <w:pPr>
        <w:pStyle w:val="Heading2"/>
        <w:rPr>
          <w:sz w:val="24"/>
          <w:szCs w:val="24"/>
        </w:rPr>
      </w:pPr>
      <w:bookmarkStart w:id="13" w:name="_Toc201230579"/>
      <w:r w:rsidRPr="0033376A">
        <w:rPr>
          <w:sz w:val="24"/>
          <w:szCs w:val="24"/>
        </w:rPr>
        <w:t>3.</w:t>
      </w:r>
      <w:r w:rsidR="005624DB" w:rsidRPr="0033376A">
        <w:rPr>
          <w:sz w:val="24"/>
          <w:szCs w:val="24"/>
        </w:rPr>
        <w:t>6 Building Trust and Engagement</w:t>
      </w:r>
      <w:bookmarkEnd w:id="13"/>
    </w:p>
    <w:p w14:paraId="58B9B1DE" w14:textId="77777777" w:rsidR="001F1FB1" w:rsidRDefault="005624DB" w:rsidP="005624DB">
      <w:pPr>
        <w:rPr>
          <w:sz w:val="24"/>
          <w:szCs w:val="24"/>
        </w:rPr>
      </w:pPr>
      <w:r w:rsidRPr="00323BB9">
        <w:rPr>
          <w:sz w:val="24"/>
          <w:szCs w:val="24"/>
        </w:rPr>
        <w:t xml:space="preserve">Building trust with tight-knit communities through consistent and transparent engagement </w:t>
      </w:r>
      <w:r w:rsidR="001F1FB1">
        <w:rPr>
          <w:sz w:val="24"/>
          <w:szCs w:val="24"/>
        </w:rPr>
        <w:t xml:space="preserve">of all age groups </w:t>
      </w:r>
      <w:r w:rsidRPr="00323BB9">
        <w:rPr>
          <w:sz w:val="24"/>
          <w:szCs w:val="24"/>
        </w:rPr>
        <w:t xml:space="preserve">is vital. </w:t>
      </w:r>
    </w:p>
    <w:p w14:paraId="5D568E79" w14:textId="393282FB" w:rsidR="00414335" w:rsidRDefault="00B8712D" w:rsidP="005624DB">
      <w:pPr>
        <w:rPr>
          <w:sz w:val="24"/>
          <w:szCs w:val="24"/>
        </w:rPr>
      </w:pPr>
      <w:r>
        <w:rPr>
          <w:sz w:val="24"/>
          <w:szCs w:val="24"/>
        </w:rPr>
        <w:t>Furthermore, e</w:t>
      </w:r>
      <w:r w:rsidR="005624DB" w:rsidRPr="00323BB9">
        <w:rPr>
          <w:sz w:val="24"/>
          <w:szCs w:val="24"/>
        </w:rPr>
        <w:t xml:space="preserve">nsuring protected time and capacity for </w:t>
      </w:r>
      <w:r w:rsidR="002936F3">
        <w:rPr>
          <w:sz w:val="24"/>
          <w:szCs w:val="24"/>
        </w:rPr>
        <w:t xml:space="preserve">health and care </w:t>
      </w:r>
      <w:r w:rsidR="005624DB" w:rsidRPr="00323BB9">
        <w:rPr>
          <w:sz w:val="24"/>
          <w:szCs w:val="24"/>
        </w:rPr>
        <w:t>staff to engage in innovative practices</w:t>
      </w:r>
      <w:r w:rsidR="001F1FB1">
        <w:rPr>
          <w:sz w:val="24"/>
          <w:szCs w:val="24"/>
        </w:rPr>
        <w:t xml:space="preserve"> and mobilise </w:t>
      </w:r>
      <w:r w:rsidR="00414335">
        <w:rPr>
          <w:sz w:val="24"/>
          <w:szCs w:val="24"/>
        </w:rPr>
        <w:t>new initiatives</w:t>
      </w:r>
      <w:r w:rsidR="005624DB" w:rsidRPr="00323BB9">
        <w:rPr>
          <w:sz w:val="24"/>
          <w:szCs w:val="24"/>
        </w:rPr>
        <w:t xml:space="preserve"> will foster continuous improvement. </w:t>
      </w:r>
      <w:r w:rsidR="00414335">
        <w:rPr>
          <w:sz w:val="24"/>
          <w:szCs w:val="24"/>
        </w:rPr>
        <w:t>A good example of this is establishing local ‘group consultations’ for specific health conditions, which could be led by clinicians working in primary or acute care. A further example is the use of social prescribing and creative health activities which are evidence</w:t>
      </w:r>
      <w:r w:rsidR="00997D2B">
        <w:rPr>
          <w:sz w:val="24"/>
          <w:szCs w:val="24"/>
        </w:rPr>
        <w:t>-</w:t>
      </w:r>
      <w:r w:rsidR="00414335">
        <w:rPr>
          <w:sz w:val="24"/>
          <w:szCs w:val="24"/>
        </w:rPr>
        <w:t>based</w:t>
      </w:r>
      <w:r w:rsidR="00997D2B">
        <w:rPr>
          <w:sz w:val="24"/>
          <w:szCs w:val="24"/>
        </w:rPr>
        <w:t>,</w:t>
      </w:r>
      <w:r w:rsidR="00414335">
        <w:rPr>
          <w:sz w:val="24"/>
          <w:szCs w:val="24"/>
        </w:rPr>
        <w:t xml:space="preserve"> that can improve an individual’s well-being.</w:t>
      </w:r>
    </w:p>
    <w:p w14:paraId="0BCFC179" w14:textId="4C8BDA96" w:rsidR="00414335" w:rsidRDefault="005624DB" w:rsidP="005624DB">
      <w:pPr>
        <w:rPr>
          <w:sz w:val="24"/>
          <w:szCs w:val="24"/>
        </w:rPr>
      </w:pPr>
      <w:r w:rsidRPr="00323BB9">
        <w:rPr>
          <w:sz w:val="24"/>
          <w:szCs w:val="24"/>
        </w:rPr>
        <w:t xml:space="preserve">Engaging retired clinicians in community health initiatives </w:t>
      </w:r>
      <w:r w:rsidR="00414335">
        <w:rPr>
          <w:sz w:val="24"/>
          <w:szCs w:val="24"/>
        </w:rPr>
        <w:t>could assist in</w:t>
      </w:r>
      <w:r w:rsidRPr="00323BB9">
        <w:rPr>
          <w:sz w:val="24"/>
          <w:szCs w:val="24"/>
        </w:rPr>
        <w:t xml:space="preserve"> maintaining</w:t>
      </w:r>
      <w:r w:rsidR="00414335">
        <w:rPr>
          <w:sz w:val="24"/>
          <w:szCs w:val="24"/>
        </w:rPr>
        <w:t xml:space="preserve"> local services especially during times of increased demand, such as holiday season and vaccination programmes. </w:t>
      </w:r>
      <w:r w:rsidR="00414335">
        <w:rPr>
          <w:sz w:val="24"/>
          <w:szCs w:val="24"/>
        </w:rPr>
        <w:lastRenderedPageBreak/>
        <w:t>Retired clinicians could also be used to engage with local communities encouraging people to participate in health-related activities such as screening and vaccinations.</w:t>
      </w:r>
    </w:p>
    <w:p w14:paraId="00560356" w14:textId="631F5FD1" w:rsidR="005624DB" w:rsidRPr="00323BB9" w:rsidRDefault="00414335" w:rsidP="005624DB">
      <w:pPr>
        <w:rPr>
          <w:sz w:val="24"/>
          <w:szCs w:val="24"/>
        </w:rPr>
      </w:pPr>
      <w:r>
        <w:rPr>
          <w:sz w:val="24"/>
          <w:szCs w:val="24"/>
        </w:rPr>
        <w:t>The delivery of</w:t>
      </w:r>
      <w:r w:rsidR="005624DB" w:rsidRPr="00323BB9">
        <w:rPr>
          <w:sz w:val="24"/>
          <w:szCs w:val="24"/>
        </w:rPr>
        <w:t xml:space="preserve"> reliable and consistent health and social care services are essential for building trust and ensuring continuity of care.</w:t>
      </w:r>
    </w:p>
    <w:p w14:paraId="41A23011" w14:textId="6ACE111A" w:rsidR="005624DB" w:rsidRPr="00323BB9" w:rsidRDefault="0033376A" w:rsidP="0033376A">
      <w:pPr>
        <w:pStyle w:val="Heading2"/>
      </w:pPr>
      <w:bookmarkStart w:id="14" w:name="_Toc201230580"/>
      <w:r>
        <w:rPr>
          <w:sz w:val="24"/>
          <w:szCs w:val="24"/>
        </w:rPr>
        <w:t>3.7</w:t>
      </w:r>
      <w:r w:rsidR="005624DB" w:rsidRPr="0033376A">
        <w:rPr>
          <w:sz w:val="24"/>
          <w:szCs w:val="24"/>
        </w:rPr>
        <w:t xml:space="preserve"> Strategic Guidance and International Comparisons</w:t>
      </w:r>
      <w:bookmarkEnd w:id="14"/>
    </w:p>
    <w:p w14:paraId="3A0DF1FB" w14:textId="7EFC357D" w:rsidR="00981E89" w:rsidRDefault="005624DB" w:rsidP="005624DB">
      <w:pPr>
        <w:rPr>
          <w:sz w:val="24"/>
          <w:szCs w:val="24"/>
        </w:rPr>
      </w:pPr>
      <w:r w:rsidRPr="00323BB9">
        <w:rPr>
          <w:sz w:val="24"/>
          <w:szCs w:val="24"/>
        </w:rPr>
        <w:t>Using NICE guidance to shape local strategies for</w:t>
      </w:r>
      <w:r w:rsidR="00414335">
        <w:rPr>
          <w:sz w:val="24"/>
          <w:szCs w:val="24"/>
        </w:rPr>
        <w:t xml:space="preserve"> supporting</w:t>
      </w:r>
      <w:r w:rsidRPr="00323BB9">
        <w:rPr>
          <w:sz w:val="24"/>
          <w:szCs w:val="24"/>
        </w:rPr>
        <w:t xml:space="preserve"> carers</w:t>
      </w:r>
      <w:r w:rsidR="00981E89">
        <w:rPr>
          <w:sz w:val="24"/>
          <w:szCs w:val="24"/>
        </w:rPr>
        <w:t xml:space="preserve"> and</w:t>
      </w:r>
      <w:r w:rsidRPr="00323BB9">
        <w:rPr>
          <w:sz w:val="24"/>
          <w:szCs w:val="24"/>
        </w:rPr>
        <w:t xml:space="preserve"> </w:t>
      </w:r>
      <w:r w:rsidR="00414335">
        <w:rPr>
          <w:sz w:val="24"/>
          <w:szCs w:val="24"/>
        </w:rPr>
        <w:t>the delivery of out of hospital services should be at the core of all strategic planning</w:t>
      </w:r>
      <w:r w:rsidR="00E73E9D">
        <w:rPr>
          <w:sz w:val="24"/>
          <w:szCs w:val="24"/>
        </w:rPr>
        <w:t xml:space="preserve">. </w:t>
      </w:r>
      <w:r w:rsidR="00414335">
        <w:rPr>
          <w:sz w:val="24"/>
          <w:szCs w:val="24"/>
        </w:rPr>
        <w:t xml:space="preserve">Particular </w:t>
      </w:r>
      <w:r w:rsidR="00981E89">
        <w:rPr>
          <w:sz w:val="24"/>
          <w:szCs w:val="24"/>
        </w:rPr>
        <w:t>initiatives</w:t>
      </w:r>
      <w:r w:rsidR="00414335">
        <w:rPr>
          <w:sz w:val="24"/>
          <w:szCs w:val="24"/>
        </w:rPr>
        <w:t xml:space="preserve"> focused on the needs of local communities such a</w:t>
      </w:r>
      <w:r w:rsidR="00741D8F">
        <w:rPr>
          <w:sz w:val="24"/>
          <w:szCs w:val="24"/>
        </w:rPr>
        <w:t>s</w:t>
      </w:r>
      <w:r w:rsidR="00414335">
        <w:rPr>
          <w:sz w:val="24"/>
          <w:szCs w:val="24"/>
        </w:rPr>
        <w:t xml:space="preserve"> frailty, </w:t>
      </w:r>
      <w:r w:rsidRPr="00323BB9">
        <w:rPr>
          <w:sz w:val="24"/>
          <w:szCs w:val="24"/>
        </w:rPr>
        <w:t>substance misuse</w:t>
      </w:r>
      <w:r w:rsidR="00414335">
        <w:rPr>
          <w:sz w:val="24"/>
          <w:szCs w:val="24"/>
        </w:rPr>
        <w:t xml:space="preserve">, </w:t>
      </w:r>
      <w:r w:rsidR="00981E89">
        <w:rPr>
          <w:sz w:val="24"/>
          <w:szCs w:val="24"/>
        </w:rPr>
        <w:t>and long-term conditions</w:t>
      </w:r>
      <w:r w:rsidRPr="00323BB9">
        <w:rPr>
          <w:sz w:val="24"/>
          <w:szCs w:val="24"/>
        </w:rPr>
        <w:t xml:space="preserve"> ensures </w:t>
      </w:r>
      <w:r w:rsidR="00981E89">
        <w:rPr>
          <w:sz w:val="24"/>
          <w:szCs w:val="24"/>
        </w:rPr>
        <w:t xml:space="preserve">the delivery of </w:t>
      </w:r>
      <w:r w:rsidRPr="00323BB9">
        <w:rPr>
          <w:sz w:val="24"/>
          <w:szCs w:val="24"/>
        </w:rPr>
        <w:t xml:space="preserve">evidence-based </w:t>
      </w:r>
      <w:r w:rsidR="00981E89">
        <w:rPr>
          <w:sz w:val="24"/>
          <w:szCs w:val="24"/>
        </w:rPr>
        <w:t>care</w:t>
      </w:r>
      <w:r w:rsidRPr="00323BB9">
        <w:rPr>
          <w:sz w:val="24"/>
          <w:szCs w:val="24"/>
        </w:rPr>
        <w:t xml:space="preserve">. </w:t>
      </w:r>
    </w:p>
    <w:p w14:paraId="3994206B" w14:textId="2FE8912D" w:rsidR="008238C9" w:rsidRPr="00323BB9" w:rsidRDefault="00981E89" w:rsidP="005624DB">
      <w:pPr>
        <w:rPr>
          <w:sz w:val="24"/>
          <w:szCs w:val="24"/>
        </w:rPr>
      </w:pPr>
      <w:r>
        <w:rPr>
          <w:sz w:val="24"/>
          <w:szCs w:val="24"/>
        </w:rPr>
        <w:t>We recommend p</w:t>
      </w:r>
      <w:r w:rsidR="005624DB" w:rsidRPr="00323BB9">
        <w:rPr>
          <w:sz w:val="24"/>
          <w:szCs w:val="24"/>
        </w:rPr>
        <w:t xml:space="preserve">roposing the South West as a </w:t>
      </w:r>
      <w:r w:rsidR="00496D81">
        <w:rPr>
          <w:sz w:val="24"/>
          <w:szCs w:val="24"/>
        </w:rPr>
        <w:t>“</w:t>
      </w:r>
      <w:r w:rsidR="005624DB" w:rsidRPr="00323BB9">
        <w:rPr>
          <w:sz w:val="24"/>
          <w:szCs w:val="24"/>
        </w:rPr>
        <w:t>testbed</w:t>
      </w:r>
      <w:r w:rsidR="00496D81">
        <w:rPr>
          <w:sz w:val="24"/>
          <w:szCs w:val="24"/>
        </w:rPr>
        <w:t>”</w:t>
      </w:r>
      <w:r w:rsidR="005624DB" w:rsidRPr="00323BB9">
        <w:rPr>
          <w:sz w:val="24"/>
          <w:szCs w:val="24"/>
        </w:rPr>
        <w:t xml:space="preserve"> for innovative health solutions</w:t>
      </w:r>
      <w:r w:rsidR="004B23BA">
        <w:rPr>
          <w:sz w:val="24"/>
          <w:szCs w:val="24"/>
        </w:rPr>
        <w:t xml:space="preserve"> and </w:t>
      </w:r>
      <w:r w:rsidR="005624DB" w:rsidRPr="00323BB9">
        <w:rPr>
          <w:sz w:val="24"/>
          <w:szCs w:val="24"/>
        </w:rPr>
        <w:t>leveraging its unique demographic challenges, c</w:t>
      </w:r>
      <w:r w:rsidR="004B23BA">
        <w:rPr>
          <w:sz w:val="24"/>
          <w:szCs w:val="24"/>
        </w:rPr>
        <w:t xml:space="preserve">ould help to </w:t>
      </w:r>
      <w:r w:rsidR="005624DB" w:rsidRPr="00323BB9">
        <w:rPr>
          <w:sz w:val="24"/>
          <w:szCs w:val="24"/>
        </w:rPr>
        <w:t>drive progress. Comparing coastal health strategies with countries like Spain and Italy can help identify best practices and improve local approaches.</w:t>
      </w:r>
    </w:p>
    <w:p w14:paraId="0FF8B612" w14:textId="1A700748" w:rsidR="008238C9" w:rsidRDefault="008238C9" w:rsidP="008238C9">
      <w:pPr>
        <w:pStyle w:val="Heading2"/>
      </w:pPr>
      <w:bookmarkStart w:id="15" w:name="_Toc201230581"/>
      <w:r>
        <w:t>4.0 Conclusion</w:t>
      </w:r>
      <w:bookmarkEnd w:id="15"/>
    </w:p>
    <w:p w14:paraId="54993C2B" w14:textId="0D45AF6A" w:rsidR="00204093" w:rsidRPr="00E959A7" w:rsidRDefault="001D12F7">
      <w:pPr>
        <w:widowControl/>
        <w:spacing w:after="160" w:line="278" w:lineRule="auto"/>
        <w:rPr>
          <w:sz w:val="24"/>
          <w:szCs w:val="24"/>
        </w:rPr>
      </w:pPr>
      <w:r w:rsidRPr="00E959A7">
        <w:rPr>
          <w:sz w:val="24"/>
          <w:szCs w:val="24"/>
        </w:rPr>
        <w:t xml:space="preserve">The South West Clinical Senate Council’s examination of the </w:t>
      </w:r>
      <w:r w:rsidR="00981E89">
        <w:rPr>
          <w:sz w:val="24"/>
          <w:szCs w:val="24"/>
        </w:rPr>
        <w:t>‘</w:t>
      </w:r>
      <w:r w:rsidRPr="00E959A7">
        <w:rPr>
          <w:sz w:val="24"/>
          <w:szCs w:val="24"/>
        </w:rPr>
        <w:t>Three Shifts</w:t>
      </w:r>
      <w:r w:rsidR="00981E89">
        <w:rPr>
          <w:sz w:val="24"/>
          <w:szCs w:val="24"/>
        </w:rPr>
        <w:t>’</w:t>
      </w:r>
      <w:r w:rsidRPr="00E959A7">
        <w:rPr>
          <w:sz w:val="24"/>
          <w:szCs w:val="24"/>
        </w:rPr>
        <w:t xml:space="preserve"> within coastal communities </w:t>
      </w:r>
      <w:r w:rsidR="008964F7" w:rsidRPr="00E959A7">
        <w:rPr>
          <w:sz w:val="24"/>
          <w:szCs w:val="24"/>
        </w:rPr>
        <w:t xml:space="preserve">highlights the profound impact </w:t>
      </w:r>
      <w:r w:rsidR="002D7F19" w:rsidRPr="00E959A7">
        <w:rPr>
          <w:sz w:val="24"/>
          <w:szCs w:val="24"/>
        </w:rPr>
        <w:t xml:space="preserve">of </w:t>
      </w:r>
      <w:r w:rsidR="00204093" w:rsidRPr="00E959A7">
        <w:rPr>
          <w:sz w:val="24"/>
          <w:szCs w:val="24"/>
        </w:rPr>
        <w:t>geography</w:t>
      </w:r>
      <w:r w:rsidR="002D7F19" w:rsidRPr="00E959A7">
        <w:rPr>
          <w:sz w:val="24"/>
          <w:szCs w:val="24"/>
        </w:rPr>
        <w:t xml:space="preserve"> on healthcare delivery. Coastal areas, with their unique </w:t>
      </w:r>
      <w:r w:rsidR="006A1F6D" w:rsidRPr="00E959A7">
        <w:rPr>
          <w:sz w:val="24"/>
          <w:szCs w:val="24"/>
        </w:rPr>
        <w:t xml:space="preserve">structural, demographic, and environmental challenges require tailored approaches </w:t>
      </w:r>
      <w:r w:rsidR="00204093" w:rsidRPr="00E959A7">
        <w:rPr>
          <w:sz w:val="24"/>
          <w:szCs w:val="24"/>
        </w:rPr>
        <w:t xml:space="preserve">for successful implementation of the </w:t>
      </w:r>
      <w:r w:rsidR="00981E89">
        <w:rPr>
          <w:sz w:val="24"/>
          <w:szCs w:val="24"/>
        </w:rPr>
        <w:t>‘</w:t>
      </w:r>
      <w:r w:rsidR="00204093" w:rsidRPr="00E959A7">
        <w:rPr>
          <w:sz w:val="24"/>
          <w:szCs w:val="24"/>
        </w:rPr>
        <w:t>Three Shifts</w:t>
      </w:r>
      <w:r w:rsidR="00E73E9D">
        <w:rPr>
          <w:sz w:val="24"/>
          <w:szCs w:val="24"/>
        </w:rPr>
        <w:t>.’</w:t>
      </w:r>
      <w:r w:rsidR="00204093" w:rsidRPr="00E959A7">
        <w:rPr>
          <w:sz w:val="24"/>
          <w:szCs w:val="24"/>
        </w:rPr>
        <w:t xml:space="preserve">  </w:t>
      </w:r>
    </w:p>
    <w:p w14:paraId="6D310B5D" w14:textId="77E9A756" w:rsidR="0000586C" w:rsidRPr="00E959A7" w:rsidRDefault="00204093" w:rsidP="00E240AC">
      <w:pPr>
        <w:widowControl/>
        <w:spacing w:after="160" w:line="278" w:lineRule="auto"/>
        <w:rPr>
          <w:sz w:val="24"/>
          <w:szCs w:val="24"/>
        </w:rPr>
      </w:pPr>
      <w:r w:rsidRPr="00E959A7">
        <w:rPr>
          <w:sz w:val="24"/>
          <w:szCs w:val="24"/>
        </w:rPr>
        <w:t>The recommendations in this report</w:t>
      </w:r>
      <w:r w:rsidR="00CD38B0" w:rsidRPr="00E959A7">
        <w:rPr>
          <w:sz w:val="24"/>
          <w:szCs w:val="24"/>
        </w:rPr>
        <w:t xml:space="preserve"> emphasise the necessity of innovative, community-based care models that leverage local assets and resources. </w:t>
      </w:r>
      <w:r w:rsidR="009C2A26" w:rsidRPr="00E959A7">
        <w:rPr>
          <w:sz w:val="24"/>
          <w:szCs w:val="24"/>
        </w:rPr>
        <w:t>Improving digital literacy and technology integration is cru</w:t>
      </w:r>
      <w:r w:rsidR="00A86D29" w:rsidRPr="00E959A7">
        <w:rPr>
          <w:sz w:val="24"/>
          <w:szCs w:val="24"/>
        </w:rPr>
        <w:t xml:space="preserve">cial to bridging the digital divide and ensuring that </w:t>
      </w:r>
      <w:r w:rsidR="00E240AC" w:rsidRPr="00E959A7">
        <w:rPr>
          <w:sz w:val="24"/>
          <w:szCs w:val="24"/>
        </w:rPr>
        <w:t xml:space="preserve">our populations have equitable access to healthcare services. Furthermore, </w:t>
      </w:r>
      <w:r w:rsidR="0000586C" w:rsidRPr="00E959A7">
        <w:rPr>
          <w:sz w:val="24"/>
          <w:szCs w:val="24"/>
        </w:rPr>
        <w:t xml:space="preserve">fostering collaboration across sectors and engaging communities in the co-design and delivery of health initiatives are pivotal for sustainable health improvements in </w:t>
      </w:r>
      <w:r w:rsidR="00672499" w:rsidRPr="00E959A7">
        <w:rPr>
          <w:sz w:val="24"/>
          <w:szCs w:val="24"/>
        </w:rPr>
        <w:t>the South West</w:t>
      </w:r>
      <w:r w:rsidR="0000586C" w:rsidRPr="00E959A7">
        <w:rPr>
          <w:sz w:val="24"/>
          <w:szCs w:val="24"/>
        </w:rPr>
        <w:t xml:space="preserve">. </w:t>
      </w:r>
    </w:p>
    <w:p w14:paraId="55DA3321" w14:textId="56D6B0CF" w:rsidR="002204E9" w:rsidRPr="00E959A7" w:rsidRDefault="00672499" w:rsidP="00E240AC">
      <w:pPr>
        <w:widowControl/>
        <w:spacing w:after="160" w:line="278" w:lineRule="auto"/>
        <w:rPr>
          <w:sz w:val="24"/>
          <w:szCs w:val="24"/>
        </w:rPr>
      </w:pPr>
      <w:r w:rsidRPr="00E959A7">
        <w:rPr>
          <w:sz w:val="24"/>
          <w:szCs w:val="24"/>
        </w:rPr>
        <w:t>Addressing the specific needs of coastal communitie</w:t>
      </w:r>
      <w:r w:rsidR="000F5D60" w:rsidRPr="00E959A7">
        <w:rPr>
          <w:sz w:val="24"/>
          <w:szCs w:val="24"/>
        </w:rPr>
        <w:t xml:space="preserve">s is essential for reducing health disparities. </w:t>
      </w:r>
      <w:r w:rsidR="0093370C" w:rsidRPr="00E959A7">
        <w:rPr>
          <w:sz w:val="24"/>
          <w:szCs w:val="24"/>
        </w:rPr>
        <w:t xml:space="preserve">The experiences that the South West offers, has valuable insights </w:t>
      </w:r>
      <w:r w:rsidR="002204E9" w:rsidRPr="00E959A7">
        <w:rPr>
          <w:sz w:val="24"/>
          <w:szCs w:val="24"/>
        </w:rPr>
        <w:t>for other regions facing similar challenges</w:t>
      </w:r>
      <w:r w:rsidR="00C02DD6" w:rsidRPr="00E959A7">
        <w:rPr>
          <w:sz w:val="24"/>
          <w:szCs w:val="24"/>
        </w:rPr>
        <w:t xml:space="preserve"> and it demonstrates the potential for place-based strategies to drive meaningful change. </w:t>
      </w:r>
      <w:r w:rsidR="00981E89">
        <w:rPr>
          <w:sz w:val="24"/>
          <w:szCs w:val="24"/>
        </w:rPr>
        <w:t>The South West and especially our coastal communities, would be a good place to design and test the implantation of the governments proposed ‘neighbourhood health’ in rural settings.</w:t>
      </w:r>
    </w:p>
    <w:p w14:paraId="780D721E" w14:textId="3155521E" w:rsidR="00874197" w:rsidRPr="00E240AC" w:rsidRDefault="006A0783" w:rsidP="00E959A7">
      <w:pPr>
        <w:widowControl/>
        <w:spacing w:after="160" w:line="278" w:lineRule="auto"/>
        <w:rPr>
          <w:sz w:val="24"/>
          <w:szCs w:val="24"/>
        </w:rPr>
      </w:pPr>
      <w:r w:rsidRPr="00E959A7">
        <w:rPr>
          <w:sz w:val="24"/>
          <w:szCs w:val="24"/>
        </w:rPr>
        <w:t xml:space="preserve">Ultimately, the successful implementation of the </w:t>
      </w:r>
      <w:r w:rsidR="00981E89">
        <w:rPr>
          <w:sz w:val="24"/>
          <w:szCs w:val="24"/>
        </w:rPr>
        <w:t>‘</w:t>
      </w:r>
      <w:r w:rsidRPr="00E959A7">
        <w:rPr>
          <w:sz w:val="24"/>
          <w:szCs w:val="24"/>
        </w:rPr>
        <w:t>Three Shifts</w:t>
      </w:r>
      <w:r w:rsidR="00981E89">
        <w:rPr>
          <w:sz w:val="24"/>
          <w:szCs w:val="24"/>
        </w:rPr>
        <w:t>’</w:t>
      </w:r>
      <w:r w:rsidRPr="00E959A7">
        <w:rPr>
          <w:sz w:val="24"/>
          <w:szCs w:val="24"/>
        </w:rPr>
        <w:t xml:space="preserve"> in coastal communities will depend on continued innovatio</w:t>
      </w:r>
      <w:r w:rsidR="00D330C1" w:rsidRPr="00E959A7">
        <w:rPr>
          <w:sz w:val="24"/>
          <w:szCs w:val="24"/>
        </w:rPr>
        <w:t>n, community engagement</w:t>
      </w:r>
      <w:r w:rsidR="00CE2E0D" w:rsidRPr="00E959A7">
        <w:rPr>
          <w:sz w:val="24"/>
          <w:szCs w:val="24"/>
        </w:rPr>
        <w:t>, and a commitment to addressing the unique</w:t>
      </w:r>
      <w:r w:rsidR="00AC6A55" w:rsidRPr="00E959A7">
        <w:rPr>
          <w:sz w:val="24"/>
          <w:szCs w:val="24"/>
        </w:rPr>
        <w:t xml:space="preserve"> geographic and socioeconomic factors that shape health outcomes. </w:t>
      </w:r>
      <w:r w:rsidR="00E959A7" w:rsidRPr="00E959A7">
        <w:rPr>
          <w:sz w:val="24"/>
          <w:szCs w:val="24"/>
        </w:rPr>
        <w:t>By prioritising these elements, we have the opportunity to create a more resilient and equitable healthcare system for all</w:t>
      </w:r>
      <w:r w:rsidR="00981E89">
        <w:rPr>
          <w:sz w:val="24"/>
          <w:szCs w:val="24"/>
        </w:rPr>
        <w:t xml:space="preserve"> our coastal citizens</w:t>
      </w:r>
      <w:r w:rsidR="00E959A7" w:rsidRPr="00E959A7">
        <w:rPr>
          <w:sz w:val="24"/>
          <w:szCs w:val="24"/>
        </w:rPr>
        <w:t>.</w:t>
      </w:r>
      <w:r w:rsidR="00E959A7">
        <w:t xml:space="preserve"> </w:t>
      </w:r>
      <w:r w:rsidR="00874197">
        <w:br w:type="page"/>
      </w:r>
    </w:p>
    <w:p w14:paraId="2266AAD9" w14:textId="21FABFA8" w:rsidR="008238C9" w:rsidRPr="008238C9" w:rsidRDefault="00422A52" w:rsidP="00874197">
      <w:pPr>
        <w:pStyle w:val="Heading2"/>
      </w:pPr>
      <w:bookmarkStart w:id="16" w:name="_Toc201230582"/>
      <w:r>
        <w:lastRenderedPageBreak/>
        <w:t xml:space="preserve">5.0 </w:t>
      </w:r>
      <w:r w:rsidR="00874197">
        <w:t>References</w:t>
      </w:r>
      <w:bookmarkEnd w:id="16"/>
    </w:p>
    <w:p w14:paraId="63F54D9C" w14:textId="77777777" w:rsidR="00935721" w:rsidRDefault="00935721" w:rsidP="00B340A0">
      <w:pPr>
        <w:pStyle w:val="FootnoteText"/>
      </w:pPr>
    </w:p>
    <w:p w14:paraId="70FC89AC" w14:textId="77777777" w:rsidR="007B101D" w:rsidRDefault="007B101D" w:rsidP="007B101D">
      <w:pPr>
        <w:pStyle w:val="FootnoteText"/>
        <w:numPr>
          <w:ilvl w:val="0"/>
          <w:numId w:val="10"/>
        </w:numPr>
      </w:pPr>
      <w:r>
        <w:t xml:space="preserve">Department of Health and Social Care. (2025). </w:t>
      </w:r>
      <w:r>
        <w:rPr>
          <w:i/>
          <w:iCs/>
        </w:rPr>
        <w:t>Road to recovery: the government’s 2025 Mandate to NHS England.</w:t>
      </w:r>
      <w:r>
        <w:t xml:space="preserve"> [online]. Available at: </w:t>
      </w:r>
      <w:hyperlink r:id="rId10" w:history="1">
        <w:r w:rsidRPr="00666EE5">
          <w:rPr>
            <w:rStyle w:val="Hyperlink"/>
          </w:rPr>
          <w:t>https://www.gov.uk/government/publications/road-to-recovery-the-governments-2025-mandate-to-nhs-england/road-to-recovery-the-governments-2025-mandate-to-nhs-england</w:t>
        </w:r>
      </w:hyperlink>
      <w:r>
        <w:t xml:space="preserve">. [Accessed on 05/06/2025]. </w:t>
      </w:r>
    </w:p>
    <w:p w14:paraId="2B512E15" w14:textId="77777777" w:rsidR="00746A82" w:rsidRDefault="00746A82" w:rsidP="00746A82">
      <w:pPr>
        <w:pStyle w:val="FootnoteText"/>
        <w:ind w:left="720"/>
      </w:pPr>
    </w:p>
    <w:p w14:paraId="2C3261E6" w14:textId="77777777" w:rsidR="007B101D" w:rsidRDefault="007B101D" w:rsidP="007B101D">
      <w:pPr>
        <w:pStyle w:val="FootnoteText"/>
        <w:numPr>
          <w:ilvl w:val="0"/>
          <w:numId w:val="10"/>
        </w:numPr>
      </w:pPr>
      <w:r>
        <w:t xml:space="preserve">Department of Health and Social Care. (2021). </w:t>
      </w:r>
      <w:r>
        <w:rPr>
          <w:i/>
          <w:iCs/>
        </w:rPr>
        <w:t>Chief Medical Officer’s Annual report 2021: Health in Coastal Communities – Summary and recommendations</w:t>
      </w:r>
      <w:r>
        <w:t xml:space="preserve">. [online]. Available at: </w:t>
      </w:r>
      <w:hyperlink r:id="rId11" w:history="1">
        <w:r w:rsidRPr="00666EE5">
          <w:rPr>
            <w:rStyle w:val="Hyperlink"/>
          </w:rPr>
          <w:t>https://assets.publishing.service.gov.uk/media/60f98769e90e0703ba3c9f25/cmo-annual_report-2021-health-in-coastal-communities-summary-and-recommendations-accessible.pdf</w:t>
        </w:r>
      </w:hyperlink>
      <w:r>
        <w:t>. [Accessed on 05/06/2025].</w:t>
      </w:r>
    </w:p>
    <w:p w14:paraId="10EC2BC1" w14:textId="77777777" w:rsidR="00746A82" w:rsidRDefault="00746A82" w:rsidP="00746A82">
      <w:pPr>
        <w:pStyle w:val="FootnoteText"/>
      </w:pPr>
    </w:p>
    <w:p w14:paraId="7BB8B3E1" w14:textId="77777777" w:rsidR="000179FA" w:rsidRDefault="000179FA" w:rsidP="000179FA">
      <w:pPr>
        <w:pStyle w:val="FootnoteText"/>
        <w:numPr>
          <w:ilvl w:val="0"/>
          <w:numId w:val="10"/>
        </w:numPr>
      </w:pPr>
      <w:r>
        <w:t xml:space="preserve">Syed, S.T., Gerber, B.S. and Sharp, L.K. (2013). </w:t>
      </w:r>
      <w:r>
        <w:rPr>
          <w:i/>
          <w:iCs/>
        </w:rPr>
        <w:t>Traveling Towards Disease: Transportation Barriers to Health Care Access.</w:t>
      </w:r>
      <w:r>
        <w:t xml:space="preserve"> [online]. Available at: </w:t>
      </w:r>
      <w:hyperlink r:id="rId12" w:history="1">
        <w:r w:rsidRPr="00666EE5">
          <w:rPr>
            <w:rStyle w:val="Hyperlink"/>
          </w:rPr>
          <w:t>https://pmc.ncbi.nlm.nih.gov/articles/PMC4265215/</w:t>
        </w:r>
      </w:hyperlink>
      <w:r>
        <w:t>. [Accessed on 05/06/2025].</w:t>
      </w:r>
    </w:p>
    <w:p w14:paraId="4E7FB4A5" w14:textId="77777777" w:rsidR="00D34530" w:rsidRDefault="00D34530" w:rsidP="00D34530">
      <w:pPr>
        <w:pStyle w:val="ListParagraph"/>
      </w:pPr>
    </w:p>
    <w:p w14:paraId="60A9005C" w14:textId="086C40FE" w:rsidR="00D34530" w:rsidRDefault="00C07F87" w:rsidP="000179FA">
      <w:pPr>
        <w:pStyle w:val="FootnoteText"/>
        <w:numPr>
          <w:ilvl w:val="0"/>
          <w:numId w:val="10"/>
        </w:numPr>
      </w:pPr>
      <w:r>
        <w:t>Barton, C., Balogun, B., Brien, P., Cromarty,</w:t>
      </w:r>
      <w:r w:rsidR="009E1139">
        <w:t xml:space="preserve"> H., Murray, A., Powell, A., and Ward, M. (2025). </w:t>
      </w:r>
      <w:r w:rsidR="009E1139">
        <w:rPr>
          <w:i/>
          <w:iCs/>
        </w:rPr>
        <w:t xml:space="preserve">Coastal </w:t>
      </w:r>
      <w:r w:rsidR="00072FA5">
        <w:rPr>
          <w:i/>
          <w:iCs/>
        </w:rPr>
        <w:t>Communities</w:t>
      </w:r>
      <w:r w:rsidR="009E1139">
        <w:t xml:space="preserve">. [online]. Available at: </w:t>
      </w:r>
      <w:hyperlink r:id="rId13" w:history="1">
        <w:r w:rsidR="009E1139" w:rsidRPr="00666EE5">
          <w:rPr>
            <w:rStyle w:val="Hyperlink"/>
          </w:rPr>
          <w:t>https://researchbriefings.files.parliament.uk/documents/CDP-2025-0059/CDP-2025-0059.pdf</w:t>
        </w:r>
      </w:hyperlink>
      <w:r w:rsidR="009E1139">
        <w:t xml:space="preserve">. </w:t>
      </w:r>
      <w:r w:rsidR="00F613AB">
        <w:t>[</w:t>
      </w:r>
      <w:r w:rsidR="009E1139">
        <w:t xml:space="preserve">Accessed </w:t>
      </w:r>
      <w:r w:rsidR="00F613AB">
        <w:t>on 13/06/2025].</w:t>
      </w:r>
    </w:p>
    <w:p w14:paraId="25AC1DC0" w14:textId="77777777" w:rsidR="00746A82" w:rsidRDefault="00746A82" w:rsidP="00746A82">
      <w:pPr>
        <w:pStyle w:val="FootnoteText"/>
      </w:pPr>
    </w:p>
    <w:p w14:paraId="3FDA2E76" w14:textId="77777777" w:rsidR="000179FA" w:rsidRDefault="000179FA" w:rsidP="000179FA">
      <w:pPr>
        <w:pStyle w:val="FootnoteText"/>
        <w:numPr>
          <w:ilvl w:val="0"/>
          <w:numId w:val="10"/>
        </w:numPr>
      </w:pPr>
      <w:r>
        <w:t xml:space="preserve">University of Plymouth. (2023). </w:t>
      </w:r>
      <w:r>
        <w:rPr>
          <w:i/>
          <w:iCs/>
        </w:rPr>
        <w:t>Digital exclusion is leaving coastal communities behind.</w:t>
      </w:r>
      <w:r>
        <w:t xml:space="preserve"> [online]. Available at: </w:t>
      </w:r>
      <w:hyperlink r:id="rId14" w:history="1">
        <w:r w:rsidRPr="00666EE5">
          <w:rPr>
            <w:rStyle w:val="Hyperlink"/>
          </w:rPr>
          <w:t>https://www.plymouth.ac.uk/news/digital-exclusion-is-leaving-coastal-communities-behind</w:t>
        </w:r>
      </w:hyperlink>
      <w:r>
        <w:t>. [Accessed on 05/06/2025].</w:t>
      </w:r>
    </w:p>
    <w:p w14:paraId="6EDAC919" w14:textId="77777777" w:rsidR="00746A82" w:rsidRPr="00170965" w:rsidRDefault="00746A82" w:rsidP="00746A82">
      <w:pPr>
        <w:pStyle w:val="FootnoteText"/>
      </w:pPr>
    </w:p>
    <w:p w14:paraId="1812917A" w14:textId="77777777" w:rsidR="007A1841" w:rsidRDefault="007A1841" w:rsidP="007A1841">
      <w:pPr>
        <w:pStyle w:val="FootnoteText"/>
        <w:numPr>
          <w:ilvl w:val="0"/>
          <w:numId w:val="10"/>
        </w:numPr>
      </w:pPr>
      <w:r>
        <w:t xml:space="preserve">Breaking Barriers Innovations. (2025). </w:t>
      </w:r>
      <w:r>
        <w:rPr>
          <w:i/>
          <w:iCs/>
        </w:rPr>
        <w:t>Coastal Navigators Network – Interim Report.</w:t>
      </w:r>
      <w:r>
        <w:t xml:space="preserve"> [online]. Available at: </w:t>
      </w:r>
      <w:hyperlink r:id="rId15" w:history="1">
        <w:r w:rsidRPr="00666EE5">
          <w:rPr>
            <w:rStyle w:val="Hyperlink"/>
          </w:rPr>
          <w:t>https://bbi.uk.com/coastalnavigtorsnetwork/</w:t>
        </w:r>
      </w:hyperlink>
      <w:r>
        <w:t>. [Accessed on 05/06/2025].</w:t>
      </w:r>
    </w:p>
    <w:p w14:paraId="30032397" w14:textId="77777777" w:rsidR="00746A82" w:rsidRPr="005F34F3" w:rsidRDefault="00746A82" w:rsidP="00746A82">
      <w:pPr>
        <w:pStyle w:val="FootnoteText"/>
      </w:pPr>
    </w:p>
    <w:p w14:paraId="77454995" w14:textId="20E4257F" w:rsidR="007A1841" w:rsidRDefault="007A1841" w:rsidP="007A1841">
      <w:pPr>
        <w:pStyle w:val="FootnoteText"/>
        <w:numPr>
          <w:ilvl w:val="0"/>
          <w:numId w:val="10"/>
        </w:numPr>
      </w:pPr>
      <w:r>
        <w:t>Peninsula Research &amp; Innovation Partnership. (2025)</w:t>
      </w:r>
      <w:r w:rsidR="00E73E9D">
        <w:t xml:space="preserve">. </w:t>
      </w:r>
      <w:r w:rsidRPr="004C1B8A">
        <w:rPr>
          <w:i/>
          <w:iCs/>
        </w:rPr>
        <w:t>Home - Peninsula Research &amp; Innovation Partnership</w:t>
      </w:r>
      <w:r w:rsidRPr="004C1B8A">
        <w:t xml:space="preserve">. [online] Available at: </w:t>
      </w:r>
      <w:hyperlink r:id="rId16" w:history="1">
        <w:r w:rsidRPr="00666EE5">
          <w:rPr>
            <w:rStyle w:val="Hyperlink"/>
          </w:rPr>
          <w:t>https://prip.uk/</w:t>
        </w:r>
      </w:hyperlink>
      <w:r>
        <w:t xml:space="preserve">. </w:t>
      </w:r>
      <w:r w:rsidRPr="004C1B8A">
        <w:t xml:space="preserve">[Accessed </w:t>
      </w:r>
      <w:r>
        <w:t>05/06/</w:t>
      </w:r>
      <w:r w:rsidRPr="004C1B8A">
        <w:t xml:space="preserve"> 2025].</w:t>
      </w:r>
    </w:p>
    <w:p w14:paraId="3ACCE8B5" w14:textId="77777777" w:rsidR="00746A82" w:rsidRDefault="00746A82" w:rsidP="00746A82">
      <w:pPr>
        <w:pStyle w:val="FootnoteText"/>
      </w:pPr>
    </w:p>
    <w:p w14:paraId="20F023E8" w14:textId="77777777" w:rsidR="0070164C" w:rsidRDefault="0070164C" w:rsidP="0070164C">
      <w:pPr>
        <w:pStyle w:val="FootnoteText"/>
        <w:numPr>
          <w:ilvl w:val="0"/>
          <w:numId w:val="10"/>
        </w:numPr>
      </w:pPr>
      <w:r>
        <w:t xml:space="preserve">Office for National Statistics. (2021). </w:t>
      </w:r>
      <w:r>
        <w:rPr>
          <w:i/>
          <w:iCs/>
        </w:rPr>
        <w:t>Average number of deaths by Middle-Layer Super Output Area (SMOA) and month of death registrations, England and Wales, deaths registered in 2015 to 2019.</w:t>
      </w:r>
      <w:r>
        <w:t xml:space="preserve"> [online]. Available at: </w:t>
      </w:r>
      <w:hyperlink r:id="rId17" w:history="1">
        <w:r w:rsidRPr="00666EE5">
          <w:rPr>
            <w:rStyle w:val="Hyperlink"/>
          </w:rPr>
          <w:t>https://www.ons.gov.uk/peoplepopulationandcommunity/birthsdeathsandmarriages/deaths/adhocs/13540averagenumberofdeathsbymiddlelayersuperoutputareamsoaandmonthofdeathregistrationenglandandwalesdeathsregisteredin2015to2019</w:t>
        </w:r>
      </w:hyperlink>
      <w:r>
        <w:t>. [Accessed on 13/06/2025].</w:t>
      </w:r>
    </w:p>
    <w:p w14:paraId="468F0516" w14:textId="77777777" w:rsidR="00746A82" w:rsidRPr="003D6954" w:rsidRDefault="00746A82" w:rsidP="00746A82">
      <w:pPr>
        <w:pStyle w:val="FootnoteText"/>
      </w:pPr>
    </w:p>
    <w:p w14:paraId="5C8F664C" w14:textId="77777777" w:rsidR="0070164C" w:rsidRDefault="0070164C" w:rsidP="0070164C">
      <w:pPr>
        <w:pStyle w:val="FootnoteText"/>
        <w:numPr>
          <w:ilvl w:val="0"/>
          <w:numId w:val="10"/>
        </w:numPr>
      </w:pPr>
      <w:r>
        <w:t xml:space="preserve">University of Plymouth. (2021). </w:t>
      </w:r>
      <w:r>
        <w:rPr>
          <w:i/>
          <w:iCs/>
        </w:rPr>
        <w:t>Coastal Health Outcomes – Contributing to the Chief Medical Officer’s Annual Report 2021.</w:t>
      </w:r>
      <w:r>
        <w:t xml:space="preserve"> [online]. Available at: </w:t>
      </w:r>
      <w:hyperlink r:id="rId18" w:history="1">
        <w:r w:rsidRPr="00666EE5">
          <w:rPr>
            <w:rStyle w:val="Hyperlink"/>
          </w:rPr>
          <w:t>https://www.plymouth.ac.uk/research/institutes/health/coastal-health-outcomes</w:t>
        </w:r>
      </w:hyperlink>
      <w:r>
        <w:t xml:space="preserve">. [Accessed on 05/06/2025]. </w:t>
      </w:r>
    </w:p>
    <w:p w14:paraId="756A8955" w14:textId="77777777" w:rsidR="00746A82" w:rsidRPr="00CC7F34" w:rsidRDefault="00746A82" w:rsidP="00746A82">
      <w:pPr>
        <w:pStyle w:val="FootnoteText"/>
      </w:pPr>
    </w:p>
    <w:p w14:paraId="1F5706DA" w14:textId="77777777" w:rsidR="004E6DE7" w:rsidRDefault="004E6DE7" w:rsidP="004E6DE7">
      <w:pPr>
        <w:pStyle w:val="FootnoteText"/>
        <w:numPr>
          <w:ilvl w:val="0"/>
          <w:numId w:val="10"/>
        </w:numPr>
      </w:pPr>
      <w:r>
        <w:t xml:space="preserve">Department of Health and Social Care. (2023). </w:t>
      </w:r>
      <w:r>
        <w:rPr>
          <w:i/>
          <w:iCs/>
        </w:rPr>
        <w:t>Chief Medical Officer’s Annual Report 2023: Health in an ageing society.</w:t>
      </w:r>
      <w:r>
        <w:t xml:space="preserve"> [online]. Available at: </w:t>
      </w:r>
      <w:hyperlink r:id="rId19" w:history="1">
        <w:r w:rsidRPr="00666EE5">
          <w:rPr>
            <w:rStyle w:val="Hyperlink"/>
          </w:rPr>
          <w:t>https://www.gov.uk/government/publications/chief-medical-officers-annual-report-2023-health-in-an-ageing-society</w:t>
        </w:r>
      </w:hyperlink>
      <w:r>
        <w:t xml:space="preserve">. [Accessed on 13/06/2025]. </w:t>
      </w:r>
    </w:p>
    <w:p w14:paraId="165ED3B3" w14:textId="77777777" w:rsidR="00746A82" w:rsidRPr="00D958DA" w:rsidRDefault="00746A82" w:rsidP="00746A82">
      <w:pPr>
        <w:pStyle w:val="FootnoteText"/>
      </w:pPr>
    </w:p>
    <w:p w14:paraId="5A6810E1" w14:textId="77777777" w:rsidR="004E6DE7" w:rsidRDefault="004E6DE7" w:rsidP="004E6DE7">
      <w:pPr>
        <w:pStyle w:val="FootnoteText"/>
        <w:numPr>
          <w:ilvl w:val="0"/>
          <w:numId w:val="10"/>
        </w:numPr>
      </w:pPr>
      <w:r>
        <w:t xml:space="preserve">Office for National Statistics. (2022). </w:t>
      </w:r>
      <w:r>
        <w:rPr>
          <w:i/>
          <w:iCs/>
        </w:rPr>
        <w:t>Population projections.</w:t>
      </w:r>
      <w:r>
        <w:t xml:space="preserve"> [online]. Available at: </w:t>
      </w:r>
      <w:hyperlink r:id="rId20" w:history="1">
        <w:r w:rsidRPr="00666EE5">
          <w:rPr>
            <w:rStyle w:val="Hyperlink"/>
          </w:rPr>
          <w:t>https://www.ons.gov.uk/peoplepopulationandcommunity/populationandmigration/populationprojections</w:t>
        </w:r>
      </w:hyperlink>
      <w:r>
        <w:t xml:space="preserve">. [Accessed on 13/06/2025]. </w:t>
      </w:r>
    </w:p>
    <w:p w14:paraId="1A651F71" w14:textId="77777777" w:rsidR="00746A82" w:rsidRDefault="00746A82" w:rsidP="00746A82">
      <w:pPr>
        <w:pStyle w:val="FootnoteText"/>
      </w:pPr>
    </w:p>
    <w:p w14:paraId="168AB40A" w14:textId="0DD5DB8C" w:rsidR="00570854" w:rsidRDefault="00570854" w:rsidP="00570854">
      <w:pPr>
        <w:pStyle w:val="FootnoteText"/>
        <w:numPr>
          <w:ilvl w:val="0"/>
          <w:numId w:val="10"/>
        </w:numPr>
      </w:pPr>
      <w:r>
        <w:t>Office for National Statistics. (2023)</w:t>
      </w:r>
      <w:r w:rsidR="00E73E9D">
        <w:t xml:space="preserve">. </w:t>
      </w:r>
      <w:r>
        <w:rPr>
          <w:i/>
          <w:iCs/>
        </w:rPr>
        <w:t>Disability, England, and Wales.</w:t>
      </w:r>
      <w:r>
        <w:t xml:space="preserve"> [online]. Available at: </w:t>
      </w:r>
      <w:hyperlink r:id="rId21" w:history="1">
        <w:r w:rsidRPr="00666EE5">
          <w:rPr>
            <w:rStyle w:val="Hyperlink"/>
          </w:rPr>
          <w:t>https://www.ons.gov.uk/peoplepopulationandcommunity/healthandsocialcare/healthandwellbeing/bulletins/disabilityenglandandwales/census2021</w:t>
        </w:r>
      </w:hyperlink>
      <w:r>
        <w:t xml:space="preserve">. [Accessed on 13/06/2025]. </w:t>
      </w:r>
    </w:p>
    <w:p w14:paraId="332CD24E" w14:textId="77777777" w:rsidR="00746A82" w:rsidRPr="009C3E8C" w:rsidRDefault="00746A82" w:rsidP="00746A82">
      <w:pPr>
        <w:pStyle w:val="FootnoteText"/>
      </w:pPr>
    </w:p>
    <w:p w14:paraId="429CB76B" w14:textId="79C79696" w:rsidR="00570854" w:rsidRDefault="00570854" w:rsidP="00570854">
      <w:pPr>
        <w:pStyle w:val="FootnoteText"/>
        <w:numPr>
          <w:ilvl w:val="0"/>
          <w:numId w:val="10"/>
        </w:numPr>
      </w:pPr>
      <w:r>
        <w:t>Sinclair, D.R., Mah</w:t>
      </w:r>
      <w:r w:rsidRPr="00F844A0">
        <w:t>arani, A., Chandola, T., Bower, P., Hanratty, B., Nazroo, J., O’Neill, T.W., Tampubolon, G., Todd, C., Wittenberg, R., Matthews, F.E. and Pendleton, N. (2021).</w:t>
      </w:r>
      <w:r>
        <w:t xml:space="preserve"> </w:t>
      </w:r>
      <w:r>
        <w:rPr>
          <w:i/>
          <w:iCs/>
        </w:rPr>
        <w:t xml:space="preserve">Frailty among Older Adults and </w:t>
      </w:r>
      <w:r w:rsidR="00FC1E6C">
        <w:rPr>
          <w:i/>
          <w:iCs/>
        </w:rPr>
        <w:t>its</w:t>
      </w:r>
      <w:r>
        <w:rPr>
          <w:i/>
          <w:iCs/>
        </w:rPr>
        <w:t xml:space="preserve"> Distribution in England.</w:t>
      </w:r>
      <w:r>
        <w:t xml:space="preserve"> [online]. Available at: </w:t>
      </w:r>
      <w:hyperlink r:id="rId22" w:history="1">
        <w:r w:rsidRPr="00666EE5">
          <w:rPr>
            <w:rStyle w:val="Hyperlink"/>
          </w:rPr>
          <w:t>https://pubmed.ncbi.nlm.nih.gov/35441193/</w:t>
        </w:r>
      </w:hyperlink>
      <w:r>
        <w:t xml:space="preserve">. [Accessed on 13/06/2025]. </w:t>
      </w:r>
    </w:p>
    <w:p w14:paraId="2286B623" w14:textId="77777777" w:rsidR="00746A82" w:rsidRPr="008F67BC" w:rsidRDefault="00746A82" w:rsidP="00746A82">
      <w:pPr>
        <w:pStyle w:val="FootnoteText"/>
      </w:pPr>
    </w:p>
    <w:p w14:paraId="19FC1FFD" w14:textId="77777777" w:rsidR="00BF5AB3" w:rsidRDefault="00BF5AB3" w:rsidP="00BF5AB3">
      <w:pPr>
        <w:pStyle w:val="FootnoteText"/>
        <w:numPr>
          <w:ilvl w:val="0"/>
          <w:numId w:val="10"/>
        </w:numPr>
      </w:pPr>
      <w:r>
        <w:t xml:space="preserve">Torbay Council. (2022). </w:t>
      </w:r>
      <w:r>
        <w:rPr>
          <w:i/>
          <w:iCs/>
        </w:rPr>
        <w:t xml:space="preserve">Director of Public Health Annual Report 2022: The stories we tell about alcohol. </w:t>
      </w:r>
      <w:r>
        <w:t xml:space="preserve">[online]. Available at@ </w:t>
      </w:r>
      <w:hyperlink r:id="rId23" w:history="1">
        <w:r w:rsidRPr="00666EE5">
          <w:rPr>
            <w:rStyle w:val="Hyperlink"/>
          </w:rPr>
          <w:t>https://www.torbay.gov.uk/democraticservices/documents/s134563/22_184_PHAR%20final.pdf</w:t>
        </w:r>
      </w:hyperlink>
      <w:r>
        <w:t xml:space="preserve">. [Accessed on 13/06/2025]. </w:t>
      </w:r>
    </w:p>
    <w:p w14:paraId="28E93347" w14:textId="77777777" w:rsidR="00746A82" w:rsidRDefault="00746A82" w:rsidP="00746A82">
      <w:pPr>
        <w:pStyle w:val="FootnoteText"/>
      </w:pPr>
    </w:p>
    <w:p w14:paraId="14F440F1" w14:textId="77777777" w:rsidR="00C63047" w:rsidRDefault="00C63047" w:rsidP="00C63047">
      <w:pPr>
        <w:pStyle w:val="FootnoteText"/>
        <w:numPr>
          <w:ilvl w:val="0"/>
          <w:numId w:val="10"/>
        </w:numPr>
      </w:pPr>
      <w:r>
        <w:t xml:space="preserve">Phillips, T., Holly, A., and Payne, A. (2022). </w:t>
      </w:r>
      <w:r>
        <w:rPr>
          <w:i/>
          <w:iCs/>
        </w:rPr>
        <w:t>Somerset Drugs and Alcohol Needs Assessment 2022.</w:t>
      </w:r>
      <w:r>
        <w:t xml:space="preserve"> [ online]. Available at: </w:t>
      </w:r>
      <w:hyperlink r:id="rId24" w:history="1">
        <w:r w:rsidRPr="00666EE5">
          <w:rPr>
            <w:rStyle w:val="Hyperlink"/>
          </w:rPr>
          <w:t>https://www.somersetintelligence.org.uk/files/Somerset%20Drug%20and%20Alcohol%20Needs%20Assessment%202022.pdf</w:t>
        </w:r>
      </w:hyperlink>
      <w:r>
        <w:t xml:space="preserve">. [Accessed on 13/06/2025]. </w:t>
      </w:r>
    </w:p>
    <w:p w14:paraId="1C888769" w14:textId="77777777" w:rsidR="00724392" w:rsidRDefault="00724392" w:rsidP="00724392">
      <w:pPr>
        <w:pStyle w:val="FootnoteText"/>
        <w:numPr>
          <w:ilvl w:val="0"/>
          <w:numId w:val="10"/>
        </w:numPr>
      </w:pPr>
      <w:r>
        <w:t xml:space="preserve">Siddall, J. (2025). </w:t>
      </w:r>
      <w:r>
        <w:rPr>
          <w:i/>
          <w:iCs/>
        </w:rPr>
        <w:t>Closing the health innovation gap – a rural and coastal challenge.</w:t>
      </w:r>
      <w:r>
        <w:t xml:space="preserve"> [online]. Available at: </w:t>
      </w:r>
      <w:hyperlink r:id="rId25" w:history="1">
        <w:r w:rsidRPr="00666EE5">
          <w:rPr>
            <w:rStyle w:val="Hyperlink"/>
          </w:rPr>
          <w:t>https://healthinnovationsouthwest.com/blog/2025/05/13/closing-the-health-innovation-gap-a-rural-and-coastal-challenge/</w:t>
        </w:r>
      </w:hyperlink>
      <w:r>
        <w:t xml:space="preserve">. [Accessed on 05/06/2025]. </w:t>
      </w:r>
    </w:p>
    <w:p w14:paraId="642C2E29" w14:textId="3D50084A" w:rsidR="00935721" w:rsidRDefault="00935721" w:rsidP="007B101D">
      <w:pPr>
        <w:pStyle w:val="FootnoteText"/>
        <w:numPr>
          <w:ilvl w:val="0"/>
          <w:numId w:val="10"/>
        </w:numPr>
      </w:pPr>
    </w:p>
    <w:p w14:paraId="68509266" w14:textId="19EEBEF9" w:rsidR="00724392" w:rsidRDefault="00724392" w:rsidP="00724392">
      <w:pPr>
        <w:pStyle w:val="FootnoteText"/>
        <w:numPr>
          <w:ilvl w:val="0"/>
          <w:numId w:val="10"/>
        </w:numPr>
      </w:pPr>
      <w:r>
        <w:t xml:space="preserve">Healthwatch in Devon, </w:t>
      </w:r>
      <w:r w:rsidR="00E73E9D">
        <w:t>Plymouth,</w:t>
      </w:r>
      <w:r>
        <w:t xml:space="preserve"> and Torbay. (2024). </w:t>
      </w:r>
      <w:r>
        <w:rPr>
          <w:i/>
          <w:iCs/>
        </w:rPr>
        <w:t>The value of listening.</w:t>
      </w:r>
      <w:r>
        <w:t xml:space="preserve"> [online]. Available at: </w:t>
      </w:r>
      <w:hyperlink r:id="rId26" w:history="1">
        <w:r w:rsidRPr="00666EE5">
          <w:rPr>
            <w:rStyle w:val="Hyperlink"/>
          </w:rPr>
          <w:t>https://nds.healthwatch.co.uk/sites/default/files/reports_library/20240708_Devon_Plymouth_Torbay_Annual%20Report%2024.pdf</w:t>
        </w:r>
      </w:hyperlink>
      <w:r>
        <w:t xml:space="preserve">. [Accessed on 13/06/2025]. </w:t>
      </w:r>
    </w:p>
    <w:p w14:paraId="1C9D7237" w14:textId="77777777" w:rsidR="00746A82" w:rsidRDefault="00746A82" w:rsidP="00746A82">
      <w:pPr>
        <w:pStyle w:val="FootnoteText"/>
        <w:ind w:left="360"/>
      </w:pPr>
    </w:p>
    <w:p w14:paraId="16A5AF8F" w14:textId="77777777" w:rsidR="00D13BE5" w:rsidRDefault="00D13BE5" w:rsidP="00D13BE5">
      <w:pPr>
        <w:pStyle w:val="FootnoteText"/>
        <w:numPr>
          <w:ilvl w:val="0"/>
          <w:numId w:val="10"/>
        </w:numPr>
      </w:pPr>
      <w:r>
        <w:t xml:space="preserve">Torbay Council. (2023). </w:t>
      </w:r>
      <w:r>
        <w:rPr>
          <w:i/>
          <w:iCs/>
        </w:rPr>
        <w:t>Housing Strategy evidence base 2023.</w:t>
      </w:r>
      <w:r>
        <w:t xml:space="preserve"> [online]. Available at: </w:t>
      </w:r>
      <w:hyperlink r:id="rId27" w:anchor=":~:text=Housing%20is%20unaffordable%20in%20Torbay,higher%20demand%20for%20holiday%20accommodation" w:history="1">
        <w:r w:rsidRPr="00666EE5">
          <w:rPr>
            <w:rStyle w:val="Hyperlink"/>
          </w:rPr>
          <w:t>https://www.torbay.gov.uk/council/policies/community-safety/housing-strategy-evidence-base-2023/#:~:text=Housing%20is%20unaffordable%20in%20Torbay,higher%20demand%20for%20holiday%20accommodation</w:t>
        </w:r>
      </w:hyperlink>
      <w:r w:rsidRPr="00093688">
        <w:t>.</w:t>
      </w:r>
      <w:r>
        <w:t xml:space="preserve"> [Accessed on 13/06/2025]. </w:t>
      </w:r>
    </w:p>
    <w:p w14:paraId="521CF418" w14:textId="77777777" w:rsidR="00746A82" w:rsidRDefault="00746A82" w:rsidP="00746A82">
      <w:pPr>
        <w:pStyle w:val="FootnoteText"/>
      </w:pPr>
    </w:p>
    <w:p w14:paraId="382D2169" w14:textId="77777777" w:rsidR="00606F85" w:rsidRDefault="00606F85" w:rsidP="00606F85">
      <w:pPr>
        <w:pStyle w:val="FootnoteText"/>
        <w:numPr>
          <w:ilvl w:val="0"/>
          <w:numId w:val="10"/>
        </w:numPr>
        <w:rPr>
          <w:sz w:val="18"/>
          <w:szCs w:val="18"/>
        </w:rPr>
      </w:pPr>
      <w:r>
        <w:t xml:space="preserve">Torbay Council. (n.d.). </w:t>
      </w:r>
      <w:r>
        <w:rPr>
          <w:i/>
          <w:iCs/>
        </w:rPr>
        <w:t>Equality Impact Assessment</w:t>
      </w:r>
      <w:r>
        <w:t xml:space="preserve">. [online]. Available at: </w:t>
      </w:r>
      <w:hyperlink r:id="rId28" w:history="1">
        <w:r w:rsidRPr="00666EE5">
          <w:rPr>
            <w:rStyle w:val="Hyperlink"/>
          </w:rPr>
          <w:t>https://www.torbay.gov.uk/DemocraticServices/documents/s160020/Allocation%20of%20Higher%20Needs%20Provision%20Capital%20Allocation%202025%2026%20EIA.pdf</w:t>
        </w:r>
      </w:hyperlink>
      <w:r>
        <w:t xml:space="preserve">. </w:t>
      </w:r>
      <w:r>
        <w:rPr>
          <w:sz w:val="18"/>
          <w:szCs w:val="18"/>
        </w:rPr>
        <w:t xml:space="preserve">Accessed on 13/06/2025]. </w:t>
      </w:r>
    </w:p>
    <w:p w14:paraId="50255FD9" w14:textId="77777777" w:rsidR="00746A82" w:rsidRPr="00E163B0" w:rsidRDefault="00746A82" w:rsidP="00746A82">
      <w:pPr>
        <w:pStyle w:val="FootnoteText"/>
        <w:rPr>
          <w:sz w:val="18"/>
          <w:szCs w:val="18"/>
        </w:rPr>
      </w:pPr>
    </w:p>
    <w:p w14:paraId="7F3A15C5" w14:textId="77777777" w:rsidR="00606F85" w:rsidRPr="00A85172" w:rsidRDefault="00606F85" w:rsidP="00606F85">
      <w:pPr>
        <w:pStyle w:val="FootnoteText"/>
        <w:numPr>
          <w:ilvl w:val="0"/>
          <w:numId w:val="10"/>
        </w:numPr>
      </w:pPr>
      <w:r>
        <w:t xml:space="preserve">Torbay Council. (2024). </w:t>
      </w:r>
      <w:r>
        <w:rPr>
          <w:i/>
          <w:iCs/>
        </w:rPr>
        <w:t>Provisional Torbay Joint Strategic Needs Assessment 2024/25.</w:t>
      </w:r>
      <w:r>
        <w:t xml:space="preserve"> [online]. Available at: </w:t>
      </w:r>
      <w:hyperlink r:id="rId29" w:history="1">
        <w:r w:rsidRPr="00666EE5">
          <w:rPr>
            <w:rStyle w:val="Hyperlink"/>
          </w:rPr>
          <w:t>https://www.torbay.gov.uk/DemocraticServices/documents/s153368/JSNA_2024_25_v2_FINAL.pdf</w:t>
        </w:r>
      </w:hyperlink>
      <w:r>
        <w:t xml:space="preserve">. [Accessed on 13/06/2025]. </w:t>
      </w:r>
    </w:p>
    <w:p w14:paraId="0CD10FC3" w14:textId="77777777" w:rsidR="00D13BE5" w:rsidRPr="00F17936" w:rsidRDefault="00D13BE5" w:rsidP="00606F85">
      <w:pPr>
        <w:pStyle w:val="FootnoteText"/>
        <w:ind w:left="720"/>
      </w:pPr>
    </w:p>
    <w:p w14:paraId="5B776A4D" w14:textId="77777777" w:rsidR="00935721" w:rsidRDefault="00935721" w:rsidP="00B340A0">
      <w:pPr>
        <w:pStyle w:val="FootnoteText"/>
      </w:pPr>
    </w:p>
    <w:p w14:paraId="15437090" w14:textId="77777777" w:rsidR="00E37511" w:rsidRDefault="00E37511" w:rsidP="00B340A0">
      <w:pPr>
        <w:pStyle w:val="FootnoteText"/>
      </w:pPr>
    </w:p>
    <w:p w14:paraId="45A29F24" w14:textId="77777777" w:rsidR="006D2796" w:rsidRDefault="006D2796" w:rsidP="00B340A0">
      <w:pPr>
        <w:pStyle w:val="FootnoteText"/>
      </w:pPr>
    </w:p>
    <w:p w14:paraId="76A2645F" w14:textId="77777777" w:rsidR="00D7721F" w:rsidRDefault="00D7721F" w:rsidP="00B340A0">
      <w:pPr>
        <w:pStyle w:val="FootnoteText"/>
      </w:pPr>
    </w:p>
    <w:p w14:paraId="1ABD86A4" w14:textId="77777777" w:rsidR="00E83038" w:rsidRDefault="00E83038" w:rsidP="00B340A0">
      <w:pPr>
        <w:pStyle w:val="FootnoteText"/>
      </w:pPr>
    </w:p>
    <w:p w14:paraId="1C37E93C" w14:textId="77777777" w:rsidR="00D45572" w:rsidRDefault="00D45572" w:rsidP="00B340A0">
      <w:pPr>
        <w:pStyle w:val="FootnoteText"/>
      </w:pPr>
    </w:p>
    <w:p w14:paraId="0F1C12E7" w14:textId="77777777" w:rsidR="00DD3F2F" w:rsidRDefault="00DD3F2F" w:rsidP="00B340A0">
      <w:pPr>
        <w:pStyle w:val="FootnoteText"/>
      </w:pPr>
    </w:p>
    <w:p w14:paraId="42278787" w14:textId="77777777" w:rsidR="008D70C2" w:rsidRDefault="008D70C2" w:rsidP="00B340A0">
      <w:pPr>
        <w:pStyle w:val="FootnoteText"/>
      </w:pPr>
    </w:p>
    <w:p w14:paraId="2B8829F3" w14:textId="77777777" w:rsidR="00A97A50" w:rsidRDefault="00A97A50" w:rsidP="00B340A0">
      <w:pPr>
        <w:pStyle w:val="FootnoteText"/>
      </w:pPr>
    </w:p>
    <w:p w14:paraId="38AB2092" w14:textId="77777777" w:rsidR="00AF594A" w:rsidRDefault="00AF594A" w:rsidP="004C1B8A">
      <w:pPr>
        <w:pStyle w:val="FootnoteText"/>
      </w:pPr>
    </w:p>
    <w:p w14:paraId="448157D6" w14:textId="77777777" w:rsidR="009E5350" w:rsidRDefault="009E5350" w:rsidP="004C1B8A">
      <w:pPr>
        <w:pStyle w:val="FootnoteText"/>
      </w:pPr>
    </w:p>
    <w:p w14:paraId="6F6913F6" w14:textId="77777777" w:rsidR="003906AE" w:rsidRDefault="003906AE" w:rsidP="004C1B8A">
      <w:pPr>
        <w:pStyle w:val="FootnoteText"/>
      </w:pPr>
    </w:p>
    <w:p w14:paraId="3369D9DA" w14:textId="77777777" w:rsidR="00397B70" w:rsidRPr="00E2552D" w:rsidRDefault="00397B70" w:rsidP="00B340A0">
      <w:pPr>
        <w:pStyle w:val="FootnoteText"/>
        <w:rPr>
          <w:b/>
          <w:bCs/>
        </w:rPr>
      </w:pPr>
    </w:p>
    <w:p w14:paraId="12A23877" w14:textId="77777777" w:rsidR="00AD2FAD" w:rsidRDefault="00AD2FAD" w:rsidP="00B340A0">
      <w:pPr>
        <w:pStyle w:val="FootnoteText"/>
      </w:pPr>
    </w:p>
    <w:p w14:paraId="6BC98197" w14:textId="77777777" w:rsidR="00FD2DF0" w:rsidRDefault="00FD2DF0" w:rsidP="00B340A0">
      <w:pPr>
        <w:pStyle w:val="FootnoteText"/>
      </w:pPr>
    </w:p>
    <w:p w14:paraId="76FBB330" w14:textId="77777777" w:rsidR="00B70BE2" w:rsidRDefault="00B70BE2" w:rsidP="00B340A0">
      <w:pPr>
        <w:pStyle w:val="FootnoteText"/>
      </w:pPr>
    </w:p>
    <w:p w14:paraId="6838CDB5" w14:textId="77777777" w:rsidR="00184A46" w:rsidRDefault="00184A46" w:rsidP="00B340A0">
      <w:pPr>
        <w:pStyle w:val="FootnoteText"/>
      </w:pPr>
    </w:p>
    <w:p w14:paraId="5865A210" w14:textId="77777777" w:rsidR="00EF4981" w:rsidRDefault="00EF4981" w:rsidP="00B340A0">
      <w:pPr>
        <w:pStyle w:val="FootnoteText"/>
      </w:pPr>
    </w:p>
    <w:p w14:paraId="48C8D20F" w14:textId="77777777" w:rsidR="00170965" w:rsidRDefault="00170965" w:rsidP="00B340A0">
      <w:pPr>
        <w:pStyle w:val="FootnoteText"/>
      </w:pPr>
    </w:p>
    <w:p w14:paraId="2EEA3AD3" w14:textId="77777777" w:rsidR="006D4058" w:rsidRDefault="006D4058" w:rsidP="00B340A0">
      <w:pPr>
        <w:pStyle w:val="FootnoteText"/>
      </w:pPr>
    </w:p>
    <w:p w14:paraId="7643744A" w14:textId="2B976B05" w:rsidR="00EE4123" w:rsidRDefault="00EE4123">
      <w:pPr>
        <w:widowControl/>
        <w:spacing w:after="160" w:line="278" w:lineRule="auto"/>
        <w:rPr>
          <w:sz w:val="20"/>
          <w:szCs w:val="20"/>
        </w:rPr>
      </w:pPr>
      <w:r>
        <w:br w:type="page"/>
      </w:r>
    </w:p>
    <w:p w14:paraId="16E46661" w14:textId="03BC1177" w:rsidR="00115F8C" w:rsidRDefault="00115F8C" w:rsidP="00115F8C">
      <w:pPr>
        <w:pStyle w:val="Heading2"/>
      </w:pPr>
      <w:bookmarkStart w:id="17" w:name="_Toc201230583"/>
      <w:r>
        <w:lastRenderedPageBreak/>
        <w:t xml:space="preserve">Appendix 1: </w:t>
      </w:r>
      <w:r w:rsidR="005548F1">
        <w:t>Links to Speaker Presentations</w:t>
      </w:r>
      <w:bookmarkEnd w:id="17"/>
    </w:p>
    <w:p w14:paraId="1A770C2A" w14:textId="77777777" w:rsidR="0060789C" w:rsidRPr="00417D6E" w:rsidRDefault="0060789C" w:rsidP="0060789C">
      <w:pPr>
        <w:rPr>
          <w:rStyle w:val="Hyperlink"/>
          <w:rFonts w:ascii="Arial Nova" w:hAnsi="Arial Nova"/>
          <w:color w:val="auto"/>
          <w:sz w:val="24"/>
          <w:szCs w:val="24"/>
        </w:rPr>
      </w:pPr>
      <w:r w:rsidRPr="00E8304B">
        <w:rPr>
          <w:rFonts w:ascii="Arial Nova" w:hAnsi="Arial Nova"/>
          <w:sz w:val="24"/>
          <w:szCs w:val="24"/>
        </w:rPr>
        <w:t xml:space="preserve">Speaker presentations are available to download on the South West Clinical Senate website. Please follow the link to the website: </w:t>
      </w:r>
      <w:hyperlink r:id="rId30" w:history="1">
        <w:r w:rsidRPr="00417D6E">
          <w:rPr>
            <w:rStyle w:val="Hyperlink"/>
            <w:rFonts w:ascii="Arial Nova" w:hAnsi="Arial Nova"/>
            <w:color w:val="auto"/>
            <w:sz w:val="24"/>
            <w:szCs w:val="24"/>
          </w:rPr>
          <w:t>Home - South West Senate (swsenate.nhs.uk)</w:t>
        </w:r>
      </w:hyperlink>
    </w:p>
    <w:p w14:paraId="1AFDB6CA" w14:textId="53131BEB" w:rsidR="002308AE" w:rsidRDefault="002308AE" w:rsidP="005548F1"/>
    <w:tbl>
      <w:tblPr>
        <w:tblStyle w:val="TableGrid"/>
        <w:tblW w:w="0" w:type="auto"/>
        <w:tblLook w:val="04A0" w:firstRow="1" w:lastRow="0" w:firstColumn="1" w:lastColumn="0" w:noHBand="0" w:noVBand="1"/>
      </w:tblPr>
      <w:tblGrid>
        <w:gridCol w:w="4673"/>
        <w:gridCol w:w="5783"/>
      </w:tblGrid>
      <w:tr w:rsidR="002308AE" w14:paraId="5C493402" w14:textId="77777777" w:rsidTr="00C52822">
        <w:tc>
          <w:tcPr>
            <w:tcW w:w="4673" w:type="dxa"/>
            <w:shd w:val="clear" w:color="auto" w:fill="215E99" w:themeFill="text2" w:themeFillTint="BF"/>
          </w:tcPr>
          <w:p w14:paraId="26FE43FE" w14:textId="44211E81" w:rsidR="002308AE" w:rsidRPr="00C52822" w:rsidRDefault="002308AE" w:rsidP="005548F1">
            <w:pPr>
              <w:rPr>
                <w:b/>
                <w:bCs/>
                <w:color w:val="FFFFFF" w:themeColor="background1"/>
              </w:rPr>
            </w:pPr>
            <w:r w:rsidRPr="00C52822">
              <w:rPr>
                <w:b/>
                <w:bCs/>
                <w:color w:val="FFFFFF" w:themeColor="background1"/>
              </w:rPr>
              <w:t>Presentation Title</w:t>
            </w:r>
          </w:p>
        </w:tc>
        <w:tc>
          <w:tcPr>
            <w:tcW w:w="5783" w:type="dxa"/>
            <w:shd w:val="clear" w:color="auto" w:fill="215E99" w:themeFill="text2" w:themeFillTint="BF"/>
          </w:tcPr>
          <w:p w14:paraId="038339B3" w14:textId="4F19B35B" w:rsidR="002308AE" w:rsidRPr="00C52822" w:rsidRDefault="002308AE" w:rsidP="005548F1">
            <w:pPr>
              <w:rPr>
                <w:b/>
                <w:bCs/>
                <w:color w:val="FFFFFF" w:themeColor="background1"/>
              </w:rPr>
            </w:pPr>
            <w:r w:rsidRPr="00C52822">
              <w:rPr>
                <w:b/>
                <w:bCs/>
                <w:color w:val="FFFFFF" w:themeColor="background1"/>
              </w:rPr>
              <w:t>Speaker</w:t>
            </w:r>
          </w:p>
        </w:tc>
      </w:tr>
      <w:tr w:rsidR="002308AE" w14:paraId="279BD8EB" w14:textId="77777777" w:rsidTr="002308AE">
        <w:tc>
          <w:tcPr>
            <w:tcW w:w="4673" w:type="dxa"/>
          </w:tcPr>
          <w:p w14:paraId="7F5D2277" w14:textId="406EF1F0" w:rsidR="002308AE" w:rsidRDefault="009220C8" w:rsidP="005548F1">
            <w:r>
              <w:t>Understanding Coastal Communities</w:t>
            </w:r>
          </w:p>
        </w:tc>
        <w:tc>
          <w:tcPr>
            <w:tcW w:w="5783" w:type="dxa"/>
          </w:tcPr>
          <w:p w14:paraId="07F9B53E" w14:textId="61D8AE15" w:rsidR="000C00FD" w:rsidRPr="000C00FD" w:rsidRDefault="00BA4A7F" w:rsidP="000C00FD">
            <w:r w:rsidRPr="0068450C">
              <w:rPr>
                <w:b/>
                <w:bCs/>
              </w:rPr>
              <w:t>Professor Maggie Rae</w:t>
            </w:r>
            <w:r w:rsidR="0068450C">
              <w:rPr>
                <w:b/>
                <w:bCs/>
              </w:rPr>
              <w:t xml:space="preserve">, </w:t>
            </w:r>
            <w:r w:rsidR="000C00FD" w:rsidRPr="00B34F2A">
              <w:t>Deputy Regional Director of Public Health Programmes, NHSE SW</w:t>
            </w:r>
          </w:p>
          <w:p w14:paraId="33002518" w14:textId="34D2C78C" w:rsidR="002308AE" w:rsidRDefault="000C00FD" w:rsidP="0068450C">
            <w:r w:rsidRPr="000C00FD">
              <w:rPr>
                <w:b/>
                <w:bCs/>
              </w:rPr>
              <w:t xml:space="preserve">Doug Haines, </w:t>
            </w:r>
            <w:r w:rsidRPr="000C00FD">
              <w:t>Programme manager, SW Regional Public Health Team, OHID</w:t>
            </w:r>
          </w:p>
        </w:tc>
      </w:tr>
      <w:tr w:rsidR="002308AE" w14:paraId="5488E899" w14:textId="77777777" w:rsidTr="002308AE">
        <w:tc>
          <w:tcPr>
            <w:tcW w:w="4673" w:type="dxa"/>
          </w:tcPr>
          <w:p w14:paraId="20DD88FD" w14:textId="7E349F94" w:rsidR="002308AE" w:rsidRDefault="005E7E4A" w:rsidP="005548F1">
            <w:r>
              <w:t>Closing the Health Innovation Gap: A Rural and Coastal Challenge</w:t>
            </w:r>
          </w:p>
        </w:tc>
        <w:tc>
          <w:tcPr>
            <w:tcW w:w="5783" w:type="dxa"/>
          </w:tcPr>
          <w:p w14:paraId="6DDD0EAD" w14:textId="71D2E41D" w:rsidR="002308AE" w:rsidRPr="002B2636" w:rsidRDefault="002B2636" w:rsidP="005548F1">
            <w:r>
              <w:rPr>
                <w:b/>
                <w:bCs/>
              </w:rPr>
              <w:t xml:space="preserve">Pip Peakman, </w:t>
            </w:r>
            <w:r>
              <w:rPr>
                <w:rFonts w:ascii="Arial Nova" w:eastAsia="Arial" w:hAnsi="Arial Nova" w:cs="Arial"/>
                <w:bCs/>
              </w:rPr>
              <w:t xml:space="preserve">Executive Director of Innovation, Health Innovation South West </w:t>
            </w:r>
            <w:r w:rsidRPr="00D42127">
              <w:rPr>
                <w:rFonts w:ascii="Arial Nova" w:eastAsia="Arial" w:hAnsi="Arial Nova" w:cs="Arial"/>
                <w:bCs/>
              </w:rPr>
              <w:t>  </w:t>
            </w:r>
          </w:p>
        </w:tc>
      </w:tr>
      <w:tr w:rsidR="002308AE" w14:paraId="7745AF0E" w14:textId="77777777" w:rsidTr="002308AE">
        <w:tc>
          <w:tcPr>
            <w:tcW w:w="4673" w:type="dxa"/>
          </w:tcPr>
          <w:p w14:paraId="23502933" w14:textId="5A5ED563" w:rsidR="002308AE" w:rsidRDefault="00407FD6" w:rsidP="005548F1">
            <w:r>
              <w:t>The Three Shifts: A Community Perspective</w:t>
            </w:r>
          </w:p>
        </w:tc>
        <w:tc>
          <w:tcPr>
            <w:tcW w:w="5783" w:type="dxa"/>
          </w:tcPr>
          <w:p w14:paraId="5549476B" w14:textId="1CAF1B25" w:rsidR="002308AE" w:rsidRDefault="00AC77FB" w:rsidP="005548F1">
            <w:r>
              <w:rPr>
                <w:rFonts w:asciiTheme="minorBidi" w:eastAsia="Arial" w:hAnsiTheme="minorBidi"/>
                <w:b/>
                <w:color w:val="000000" w:themeColor="text1"/>
              </w:rPr>
              <w:t>Kevin Dixon,</w:t>
            </w:r>
            <w:r>
              <w:rPr>
                <w:rFonts w:asciiTheme="minorBidi" w:eastAsia="Arial" w:hAnsiTheme="minorBidi"/>
                <w:bCs/>
                <w:color w:val="000000" w:themeColor="text1"/>
              </w:rPr>
              <w:t xml:space="preserve"> </w:t>
            </w:r>
            <w:r w:rsidRPr="00405C2F">
              <w:rPr>
                <w:rFonts w:asciiTheme="minorBidi" w:eastAsia="Arial" w:hAnsiTheme="minorBidi"/>
                <w:bCs/>
                <w:color w:val="000000" w:themeColor="text1"/>
              </w:rPr>
              <w:t>Chair of Healthwatch Devon, Plymouth, Torbay</w:t>
            </w:r>
          </w:p>
        </w:tc>
      </w:tr>
    </w:tbl>
    <w:p w14:paraId="761068D0" w14:textId="2B313CFE" w:rsidR="0060789C" w:rsidRDefault="0060789C" w:rsidP="005548F1"/>
    <w:p w14:paraId="0381A0FF" w14:textId="77777777" w:rsidR="0060789C" w:rsidRDefault="0060789C">
      <w:pPr>
        <w:widowControl/>
        <w:spacing w:after="160" w:line="278" w:lineRule="auto"/>
      </w:pPr>
      <w:r>
        <w:br w:type="page"/>
      </w:r>
    </w:p>
    <w:p w14:paraId="6B58B2A0" w14:textId="11CBF7AC" w:rsidR="005548F1" w:rsidRDefault="0060789C" w:rsidP="0060789C">
      <w:pPr>
        <w:pStyle w:val="Heading2"/>
      </w:pPr>
      <w:bookmarkStart w:id="18" w:name="_Toc201230584"/>
      <w:r>
        <w:lastRenderedPageBreak/>
        <w:t xml:space="preserve">Appendix 2: </w:t>
      </w:r>
      <w:r w:rsidR="00485A21">
        <w:t>Senate Council Membership</w:t>
      </w:r>
      <w:bookmarkEnd w:id="18"/>
    </w:p>
    <w:p w14:paraId="6DC1C7B6" w14:textId="24C12099" w:rsidR="006E0D04" w:rsidRDefault="006E0D04" w:rsidP="006E510B">
      <w:pPr>
        <w:pStyle w:val="NormalWeb"/>
        <w:spacing w:before="0" w:beforeAutospacing="0" w:after="120" w:afterAutospacing="0"/>
      </w:pPr>
      <w:r w:rsidRPr="004E68B4">
        <w:rPr>
          <w:rFonts w:ascii="Arial Nova" w:hAnsi="Arial Nova" w:cs="Calibri"/>
          <w:color w:val="000000"/>
        </w:rPr>
        <w:t>The table below s</w:t>
      </w:r>
      <w:r w:rsidRPr="004E68B4">
        <w:rPr>
          <w:rFonts w:ascii="Arial Nova" w:hAnsi="Arial Nova"/>
        </w:rPr>
        <w:t xml:space="preserve">hows the Senate Council membership (at the time of writing this report) with those who attended the meeting highlighted in blue. </w:t>
      </w:r>
    </w:p>
    <w:tbl>
      <w:tblPr>
        <w:tblStyle w:val="TableGrid"/>
        <w:tblW w:w="10456" w:type="dxa"/>
        <w:tblLook w:val="04A0" w:firstRow="1" w:lastRow="0" w:firstColumn="1" w:lastColumn="0" w:noHBand="0" w:noVBand="1"/>
      </w:tblPr>
      <w:tblGrid>
        <w:gridCol w:w="1675"/>
        <w:gridCol w:w="2236"/>
        <w:gridCol w:w="2172"/>
        <w:gridCol w:w="2993"/>
        <w:gridCol w:w="1380"/>
      </w:tblGrid>
      <w:tr w:rsidR="009B7DBB" w14:paraId="4A8946D1" w14:textId="77777777" w:rsidTr="00EA1D96">
        <w:tc>
          <w:tcPr>
            <w:tcW w:w="1686" w:type="dxa"/>
            <w:tcBorders>
              <w:top w:val="single" w:sz="12" w:space="0" w:color="auto"/>
              <w:left w:val="single" w:sz="12" w:space="0" w:color="auto"/>
              <w:bottom w:val="single" w:sz="12" w:space="0" w:color="auto"/>
            </w:tcBorders>
            <w:shd w:val="clear" w:color="auto" w:fill="215E99" w:themeFill="text2" w:themeFillTint="BF"/>
            <w:vAlign w:val="center"/>
          </w:tcPr>
          <w:p w14:paraId="3FD8EC5E" w14:textId="3C48CD6F" w:rsidR="009B7DBB" w:rsidRPr="00B01A30" w:rsidRDefault="009B7DBB" w:rsidP="005237E7">
            <w:pPr>
              <w:rPr>
                <w:b/>
                <w:bCs/>
                <w:color w:val="FFFFFF" w:themeColor="background1"/>
              </w:rPr>
            </w:pPr>
            <w:r w:rsidRPr="00B01A30">
              <w:rPr>
                <w:b/>
                <w:bCs/>
                <w:color w:val="FFFFFF" w:themeColor="background1"/>
              </w:rPr>
              <w:t>Membership Type</w:t>
            </w:r>
          </w:p>
        </w:tc>
        <w:tc>
          <w:tcPr>
            <w:tcW w:w="2265" w:type="dxa"/>
            <w:tcBorders>
              <w:top w:val="single" w:sz="12" w:space="0" w:color="auto"/>
              <w:bottom w:val="single" w:sz="12" w:space="0" w:color="auto"/>
            </w:tcBorders>
            <w:shd w:val="clear" w:color="auto" w:fill="215E99" w:themeFill="text2" w:themeFillTint="BF"/>
            <w:vAlign w:val="center"/>
          </w:tcPr>
          <w:p w14:paraId="31A80216" w14:textId="265FAF68" w:rsidR="009B7DBB" w:rsidRPr="00B01A30" w:rsidRDefault="009B7DBB" w:rsidP="005237E7">
            <w:pPr>
              <w:rPr>
                <w:b/>
                <w:bCs/>
                <w:color w:val="FFFFFF" w:themeColor="background1"/>
              </w:rPr>
            </w:pPr>
            <w:r w:rsidRPr="00B01A30">
              <w:rPr>
                <w:b/>
                <w:bCs/>
                <w:color w:val="FFFFFF" w:themeColor="background1"/>
              </w:rPr>
              <w:t>Name</w:t>
            </w:r>
          </w:p>
        </w:tc>
        <w:tc>
          <w:tcPr>
            <w:tcW w:w="2184" w:type="dxa"/>
            <w:tcBorders>
              <w:top w:val="single" w:sz="12" w:space="0" w:color="auto"/>
              <w:bottom w:val="single" w:sz="12" w:space="0" w:color="auto"/>
            </w:tcBorders>
            <w:shd w:val="clear" w:color="auto" w:fill="215E99" w:themeFill="text2" w:themeFillTint="BF"/>
            <w:vAlign w:val="center"/>
          </w:tcPr>
          <w:p w14:paraId="1564E155" w14:textId="4E7A2EED" w:rsidR="009B7DBB" w:rsidRPr="00B01A30" w:rsidRDefault="009B7DBB" w:rsidP="005237E7">
            <w:pPr>
              <w:rPr>
                <w:b/>
                <w:bCs/>
                <w:color w:val="FFFFFF" w:themeColor="background1"/>
              </w:rPr>
            </w:pPr>
            <w:r w:rsidRPr="00B01A30">
              <w:rPr>
                <w:b/>
                <w:bCs/>
                <w:color w:val="FFFFFF" w:themeColor="background1"/>
              </w:rPr>
              <w:t>Job Title</w:t>
            </w:r>
          </w:p>
        </w:tc>
        <w:tc>
          <w:tcPr>
            <w:tcW w:w="3064" w:type="dxa"/>
            <w:tcBorders>
              <w:top w:val="single" w:sz="12" w:space="0" w:color="auto"/>
              <w:bottom w:val="single" w:sz="12" w:space="0" w:color="auto"/>
            </w:tcBorders>
            <w:shd w:val="clear" w:color="auto" w:fill="215E99" w:themeFill="text2" w:themeFillTint="BF"/>
            <w:vAlign w:val="center"/>
          </w:tcPr>
          <w:p w14:paraId="5A253D77" w14:textId="2167E44D" w:rsidR="009B7DBB" w:rsidRPr="00B01A30" w:rsidRDefault="009B7DBB" w:rsidP="005237E7">
            <w:pPr>
              <w:rPr>
                <w:b/>
                <w:bCs/>
                <w:color w:val="FFFFFF" w:themeColor="background1"/>
              </w:rPr>
            </w:pPr>
            <w:r w:rsidRPr="00B01A30">
              <w:rPr>
                <w:b/>
                <w:bCs/>
                <w:color w:val="FFFFFF" w:themeColor="background1"/>
              </w:rPr>
              <w:t>Organisation</w:t>
            </w:r>
          </w:p>
        </w:tc>
        <w:tc>
          <w:tcPr>
            <w:tcW w:w="1257" w:type="dxa"/>
            <w:tcBorders>
              <w:top w:val="single" w:sz="12" w:space="0" w:color="auto"/>
              <w:bottom w:val="single" w:sz="12" w:space="0" w:color="auto"/>
              <w:right w:val="single" w:sz="12" w:space="0" w:color="auto"/>
            </w:tcBorders>
            <w:shd w:val="clear" w:color="auto" w:fill="215E99" w:themeFill="text2" w:themeFillTint="BF"/>
            <w:vAlign w:val="center"/>
          </w:tcPr>
          <w:p w14:paraId="61B3D1EC" w14:textId="00B3DDD1" w:rsidR="009B7DBB" w:rsidRPr="00B01A30" w:rsidRDefault="009B7DBB" w:rsidP="005237E7">
            <w:pPr>
              <w:rPr>
                <w:b/>
                <w:bCs/>
                <w:color w:val="FFFFFF" w:themeColor="background1"/>
              </w:rPr>
            </w:pPr>
            <w:r w:rsidRPr="00B01A30">
              <w:rPr>
                <w:b/>
                <w:bCs/>
                <w:color w:val="FFFFFF" w:themeColor="background1"/>
              </w:rPr>
              <w:t>Attendance at Meeting</w:t>
            </w:r>
          </w:p>
        </w:tc>
      </w:tr>
      <w:tr w:rsidR="009B7DBB" w14:paraId="1731D58B" w14:textId="77777777" w:rsidTr="00D4527E">
        <w:tc>
          <w:tcPr>
            <w:tcW w:w="10456" w:type="dxa"/>
            <w:gridSpan w:val="5"/>
            <w:tcBorders>
              <w:top w:val="single" w:sz="12" w:space="0" w:color="auto"/>
              <w:left w:val="single" w:sz="12" w:space="0" w:color="auto"/>
              <w:bottom w:val="single" w:sz="12" w:space="0" w:color="auto"/>
              <w:right w:val="single" w:sz="12" w:space="0" w:color="auto"/>
            </w:tcBorders>
          </w:tcPr>
          <w:p w14:paraId="3A1D7582" w14:textId="495BC750" w:rsidR="009B7DBB" w:rsidRPr="00B01A30" w:rsidRDefault="009B7DBB" w:rsidP="00B01A30">
            <w:pPr>
              <w:rPr>
                <w:b/>
                <w:bCs/>
              </w:rPr>
            </w:pPr>
            <w:r w:rsidRPr="00B01A30">
              <w:rPr>
                <w:b/>
                <w:bCs/>
              </w:rPr>
              <w:t>Standing Members</w:t>
            </w:r>
          </w:p>
        </w:tc>
      </w:tr>
      <w:tr w:rsidR="009B7DBB" w14:paraId="02A63558" w14:textId="77777777" w:rsidTr="00EA1D96">
        <w:tc>
          <w:tcPr>
            <w:tcW w:w="1686" w:type="dxa"/>
            <w:tcBorders>
              <w:top w:val="single" w:sz="12" w:space="0" w:color="auto"/>
              <w:left w:val="single" w:sz="12" w:space="0" w:color="auto"/>
            </w:tcBorders>
            <w:shd w:val="clear" w:color="auto" w:fill="DAE9F7" w:themeFill="text2" w:themeFillTint="1A"/>
          </w:tcPr>
          <w:p w14:paraId="6B538EEA" w14:textId="6625368E" w:rsidR="009B7DBB" w:rsidRPr="00B01A30" w:rsidRDefault="009B7DBB" w:rsidP="00B01A30">
            <w:r w:rsidRPr="00B01A30">
              <w:t>Standing Member</w:t>
            </w:r>
          </w:p>
        </w:tc>
        <w:tc>
          <w:tcPr>
            <w:tcW w:w="2265" w:type="dxa"/>
            <w:tcBorders>
              <w:top w:val="single" w:sz="12" w:space="0" w:color="auto"/>
            </w:tcBorders>
            <w:shd w:val="clear" w:color="auto" w:fill="DAE9F7" w:themeFill="text2" w:themeFillTint="1A"/>
          </w:tcPr>
          <w:p w14:paraId="0F6E91FA" w14:textId="68FA747B" w:rsidR="009B7DBB" w:rsidRPr="00B01A30" w:rsidRDefault="009B7DBB" w:rsidP="00B01A30">
            <w:r w:rsidRPr="00B01A30">
              <w:t>Dr Marion Andrews-Evans BEM</w:t>
            </w:r>
          </w:p>
        </w:tc>
        <w:tc>
          <w:tcPr>
            <w:tcW w:w="2184" w:type="dxa"/>
            <w:tcBorders>
              <w:top w:val="single" w:sz="12" w:space="0" w:color="auto"/>
            </w:tcBorders>
            <w:shd w:val="clear" w:color="auto" w:fill="DAE9F7" w:themeFill="text2" w:themeFillTint="1A"/>
          </w:tcPr>
          <w:p w14:paraId="1FE2D354" w14:textId="3F4C3D14" w:rsidR="009B7DBB" w:rsidRPr="00B01A30" w:rsidRDefault="009B7DBB" w:rsidP="00B01A30">
            <w:r w:rsidRPr="00B01A30">
              <w:t>Chair of the South West Clinical Senate Council</w:t>
            </w:r>
          </w:p>
        </w:tc>
        <w:tc>
          <w:tcPr>
            <w:tcW w:w="3064" w:type="dxa"/>
            <w:tcBorders>
              <w:top w:val="single" w:sz="12" w:space="0" w:color="auto"/>
            </w:tcBorders>
            <w:shd w:val="clear" w:color="auto" w:fill="DAE9F7" w:themeFill="text2" w:themeFillTint="1A"/>
          </w:tcPr>
          <w:p w14:paraId="5BD1F722" w14:textId="4E1B2ACD" w:rsidR="009B7DBB" w:rsidRPr="00B01A30" w:rsidRDefault="009B7DBB" w:rsidP="00B01A30">
            <w:r w:rsidRPr="00B01A30">
              <w:t xml:space="preserve">NHS </w:t>
            </w:r>
            <w:r w:rsidR="00072FA5" w:rsidRPr="00B01A30">
              <w:t>England</w:t>
            </w:r>
          </w:p>
        </w:tc>
        <w:tc>
          <w:tcPr>
            <w:tcW w:w="1257" w:type="dxa"/>
            <w:tcBorders>
              <w:top w:val="single" w:sz="12" w:space="0" w:color="auto"/>
              <w:right w:val="single" w:sz="12" w:space="0" w:color="auto"/>
            </w:tcBorders>
            <w:shd w:val="clear" w:color="auto" w:fill="DAE9F7" w:themeFill="text2" w:themeFillTint="1A"/>
          </w:tcPr>
          <w:p w14:paraId="2102C758" w14:textId="4739E17C" w:rsidR="009B7DBB" w:rsidRPr="00B01A30" w:rsidRDefault="009B7DBB" w:rsidP="00B01A30">
            <w:r w:rsidRPr="00B01A30">
              <w:t>Yes</w:t>
            </w:r>
          </w:p>
        </w:tc>
      </w:tr>
      <w:tr w:rsidR="009B7DBB" w14:paraId="522971B7" w14:textId="77777777" w:rsidTr="00EA1D96">
        <w:tc>
          <w:tcPr>
            <w:tcW w:w="1686" w:type="dxa"/>
            <w:tcBorders>
              <w:left w:val="single" w:sz="12" w:space="0" w:color="auto"/>
            </w:tcBorders>
            <w:shd w:val="clear" w:color="auto" w:fill="DAE9F7" w:themeFill="text2" w:themeFillTint="1A"/>
          </w:tcPr>
          <w:p w14:paraId="01CAC340" w14:textId="62E8DE6F" w:rsidR="009B7DBB" w:rsidRPr="00B01A30" w:rsidRDefault="009B7DBB" w:rsidP="00B01A30">
            <w:r w:rsidRPr="00B01A30">
              <w:t>Standing Member</w:t>
            </w:r>
          </w:p>
        </w:tc>
        <w:tc>
          <w:tcPr>
            <w:tcW w:w="2265" w:type="dxa"/>
            <w:shd w:val="clear" w:color="auto" w:fill="DAE9F7" w:themeFill="text2" w:themeFillTint="1A"/>
          </w:tcPr>
          <w:p w14:paraId="5AB12C37" w14:textId="3CC497E3" w:rsidR="009B7DBB" w:rsidRPr="00B01A30" w:rsidRDefault="009B7DBB" w:rsidP="00B01A30">
            <w:r w:rsidRPr="00B01A30">
              <w:t>Fiona Baldwin</w:t>
            </w:r>
          </w:p>
        </w:tc>
        <w:tc>
          <w:tcPr>
            <w:tcW w:w="2184" w:type="dxa"/>
            <w:shd w:val="clear" w:color="auto" w:fill="DAE9F7" w:themeFill="text2" w:themeFillTint="1A"/>
          </w:tcPr>
          <w:p w14:paraId="59FA1C23" w14:textId="1F731D41" w:rsidR="009B7DBB" w:rsidRPr="00B01A30" w:rsidRDefault="009B7DBB" w:rsidP="00B01A30">
            <w:r w:rsidRPr="00B01A30">
              <w:t>Assistant Director Clinical Programmes / Networks and SW Clinical Senate</w:t>
            </w:r>
          </w:p>
        </w:tc>
        <w:tc>
          <w:tcPr>
            <w:tcW w:w="3064" w:type="dxa"/>
            <w:shd w:val="clear" w:color="auto" w:fill="DAE9F7" w:themeFill="text2" w:themeFillTint="1A"/>
          </w:tcPr>
          <w:p w14:paraId="6B16599B" w14:textId="34EB3888" w:rsidR="009B7DBB" w:rsidRPr="00B01A30" w:rsidRDefault="009B7DBB" w:rsidP="00B01A30">
            <w:r w:rsidRPr="00B01A30">
              <w:t>NHS England</w:t>
            </w:r>
          </w:p>
        </w:tc>
        <w:tc>
          <w:tcPr>
            <w:tcW w:w="1257" w:type="dxa"/>
            <w:tcBorders>
              <w:right w:val="single" w:sz="12" w:space="0" w:color="auto"/>
            </w:tcBorders>
            <w:shd w:val="clear" w:color="auto" w:fill="DAE9F7" w:themeFill="text2" w:themeFillTint="1A"/>
          </w:tcPr>
          <w:p w14:paraId="537888EB" w14:textId="12F29A8E" w:rsidR="009B7DBB" w:rsidRPr="00B01A30" w:rsidRDefault="009B7DBB" w:rsidP="00B01A30">
            <w:r w:rsidRPr="00B01A30">
              <w:t>Yes</w:t>
            </w:r>
          </w:p>
        </w:tc>
      </w:tr>
      <w:tr w:rsidR="009B7DBB" w14:paraId="5CD2E98D" w14:textId="77777777" w:rsidTr="00EA1D96">
        <w:tc>
          <w:tcPr>
            <w:tcW w:w="1686" w:type="dxa"/>
            <w:tcBorders>
              <w:left w:val="single" w:sz="12" w:space="0" w:color="auto"/>
            </w:tcBorders>
          </w:tcPr>
          <w:p w14:paraId="3E54F455" w14:textId="1C4BF836" w:rsidR="009B7DBB" w:rsidRPr="00B01A30" w:rsidRDefault="009B7DBB" w:rsidP="00B01A30">
            <w:r w:rsidRPr="00B01A30">
              <w:t>Standing Member</w:t>
            </w:r>
          </w:p>
        </w:tc>
        <w:tc>
          <w:tcPr>
            <w:tcW w:w="2265" w:type="dxa"/>
          </w:tcPr>
          <w:p w14:paraId="1CFD6DD7" w14:textId="297DE86A" w:rsidR="009B7DBB" w:rsidRPr="00B01A30" w:rsidRDefault="009B7DBB" w:rsidP="00B01A30">
            <w:r w:rsidRPr="00B01A30">
              <w:t>Mark Juniper</w:t>
            </w:r>
          </w:p>
        </w:tc>
        <w:tc>
          <w:tcPr>
            <w:tcW w:w="2184" w:type="dxa"/>
          </w:tcPr>
          <w:p w14:paraId="416B95F7" w14:textId="5E49F835" w:rsidR="009B7DBB" w:rsidRPr="00B01A30" w:rsidRDefault="009B7DBB" w:rsidP="00B01A30">
            <w:r w:rsidRPr="00B01A30">
              <w:t xml:space="preserve">Regional Director </w:t>
            </w:r>
          </w:p>
        </w:tc>
        <w:tc>
          <w:tcPr>
            <w:tcW w:w="3064" w:type="dxa"/>
          </w:tcPr>
          <w:p w14:paraId="5764FBCC" w14:textId="56C3F0F4" w:rsidR="009B7DBB" w:rsidRPr="00B01A30" w:rsidRDefault="009B7DBB" w:rsidP="00B01A30">
            <w:r w:rsidRPr="00B01A30">
              <w:t>West of England Health Innovation Network</w:t>
            </w:r>
          </w:p>
        </w:tc>
        <w:tc>
          <w:tcPr>
            <w:tcW w:w="1257" w:type="dxa"/>
            <w:tcBorders>
              <w:right w:val="single" w:sz="12" w:space="0" w:color="auto"/>
            </w:tcBorders>
          </w:tcPr>
          <w:p w14:paraId="581C9D7F" w14:textId="372EFE31" w:rsidR="009B7DBB" w:rsidRPr="00B01A30" w:rsidRDefault="009B7DBB" w:rsidP="00B01A30"/>
        </w:tc>
      </w:tr>
      <w:tr w:rsidR="009B7DBB" w14:paraId="025C57F4" w14:textId="27B8423C" w:rsidTr="00EA1D96">
        <w:tc>
          <w:tcPr>
            <w:tcW w:w="1686" w:type="dxa"/>
            <w:tcBorders>
              <w:left w:val="single" w:sz="12" w:space="0" w:color="auto"/>
            </w:tcBorders>
            <w:shd w:val="clear" w:color="auto" w:fill="DAE9F7" w:themeFill="text2" w:themeFillTint="1A"/>
          </w:tcPr>
          <w:p w14:paraId="5DAA316E" w14:textId="2945C9A5" w:rsidR="009B7DBB" w:rsidRPr="00B01A30" w:rsidRDefault="009B7DBB" w:rsidP="00B01A30">
            <w:r w:rsidRPr="00B01A30">
              <w:t xml:space="preserve">Standing Member </w:t>
            </w:r>
          </w:p>
        </w:tc>
        <w:tc>
          <w:tcPr>
            <w:tcW w:w="2265" w:type="dxa"/>
            <w:shd w:val="clear" w:color="auto" w:fill="DAE9F7" w:themeFill="text2" w:themeFillTint="1A"/>
          </w:tcPr>
          <w:p w14:paraId="653728DE" w14:textId="7C2F5E72" w:rsidR="009B7DBB" w:rsidRPr="00B01A30" w:rsidRDefault="009B7DBB" w:rsidP="00B01A30">
            <w:r w:rsidRPr="00B01A30">
              <w:t>Prof. Maggie Rae</w:t>
            </w:r>
          </w:p>
        </w:tc>
        <w:tc>
          <w:tcPr>
            <w:tcW w:w="2184" w:type="dxa"/>
            <w:shd w:val="clear" w:color="auto" w:fill="DAE9F7" w:themeFill="text2" w:themeFillTint="1A"/>
          </w:tcPr>
          <w:p w14:paraId="1027B9AC" w14:textId="4563618E" w:rsidR="009B7DBB" w:rsidRPr="00B01A30" w:rsidRDefault="009B7DBB" w:rsidP="00B01A30">
            <w:r w:rsidRPr="00B01A30">
              <w:t>President of the RSM Epidemiology and Public Health Section, Deputy Director – Regional Public Health Programmes</w:t>
            </w:r>
          </w:p>
        </w:tc>
        <w:tc>
          <w:tcPr>
            <w:tcW w:w="3064" w:type="dxa"/>
            <w:shd w:val="clear" w:color="auto" w:fill="DAE9F7" w:themeFill="text2" w:themeFillTint="1A"/>
          </w:tcPr>
          <w:p w14:paraId="5F0AB9F9" w14:textId="4A30FE2D" w:rsidR="009B7DBB" w:rsidRPr="00B01A30" w:rsidRDefault="009B7DBB" w:rsidP="00B01A30">
            <w:r w:rsidRPr="00B01A30">
              <w:t>NHS England</w:t>
            </w:r>
          </w:p>
        </w:tc>
        <w:tc>
          <w:tcPr>
            <w:tcW w:w="1257" w:type="dxa"/>
            <w:tcBorders>
              <w:right w:val="single" w:sz="12" w:space="0" w:color="auto"/>
            </w:tcBorders>
            <w:shd w:val="clear" w:color="auto" w:fill="DAE9F7" w:themeFill="text2" w:themeFillTint="1A"/>
          </w:tcPr>
          <w:p w14:paraId="398D7207" w14:textId="0514F2E1" w:rsidR="009B7DBB" w:rsidRPr="00B01A30" w:rsidRDefault="009B7DBB" w:rsidP="00B01A30">
            <w:r w:rsidRPr="00B01A30">
              <w:t>Yes</w:t>
            </w:r>
          </w:p>
        </w:tc>
      </w:tr>
      <w:tr w:rsidR="009B7DBB" w14:paraId="66414C70" w14:textId="77777777" w:rsidTr="00EA1D96">
        <w:tc>
          <w:tcPr>
            <w:tcW w:w="1686" w:type="dxa"/>
            <w:tcBorders>
              <w:left w:val="single" w:sz="12" w:space="0" w:color="auto"/>
            </w:tcBorders>
          </w:tcPr>
          <w:p w14:paraId="4E5356F7" w14:textId="228E45CC" w:rsidR="009B7DBB" w:rsidRPr="00B01A30" w:rsidRDefault="009B7DBB" w:rsidP="00B01A30">
            <w:r w:rsidRPr="00B01A30">
              <w:t>Standing Member</w:t>
            </w:r>
          </w:p>
        </w:tc>
        <w:tc>
          <w:tcPr>
            <w:tcW w:w="2265" w:type="dxa"/>
          </w:tcPr>
          <w:p w14:paraId="6E3C11E7" w14:textId="507550BD" w:rsidR="009B7DBB" w:rsidRPr="00B01A30" w:rsidRDefault="009B7DBB" w:rsidP="00B01A30">
            <w:r w:rsidRPr="00B01A30">
              <w:t>Debi Reilly</w:t>
            </w:r>
          </w:p>
        </w:tc>
        <w:tc>
          <w:tcPr>
            <w:tcW w:w="2184" w:type="dxa"/>
          </w:tcPr>
          <w:p w14:paraId="1187B266" w14:textId="450AAAAD" w:rsidR="009B7DBB" w:rsidRPr="00B01A30" w:rsidRDefault="0095783C" w:rsidP="00B01A30">
            <w:r w:rsidRPr="00B01A30">
              <w:t>Regional Director</w:t>
            </w:r>
          </w:p>
        </w:tc>
        <w:tc>
          <w:tcPr>
            <w:tcW w:w="3064" w:type="dxa"/>
          </w:tcPr>
          <w:p w14:paraId="1DD3A0B0" w14:textId="7E04E295" w:rsidR="009B7DBB" w:rsidRPr="00B01A30" w:rsidRDefault="0095783C" w:rsidP="00B01A30">
            <w:r w:rsidRPr="00B01A30">
              <w:t>NHS England</w:t>
            </w:r>
          </w:p>
        </w:tc>
        <w:tc>
          <w:tcPr>
            <w:tcW w:w="1257" w:type="dxa"/>
            <w:tcBorders>
              <w:right w:val="single" w:sz="12" w:space="0" w:color="auto"/>
            </w:tcBorders>
          </w:tcPr>
          <w:p w14:paraId="5AC84B2A" w14:textId="77777777" w:rsidR="009B7DBB" w:rsidRPr="00B01A30" w:rsidRDefault="009B7DBB" w:rsidP="00B01A30"/>
        </w:tc>
      </w:tr>
      <w:tr w:rsidR="00E57CBC" w14:paraId="02D3BC3F" w14:textId="77777777" w:rsidTr="00EA1D96">
        <w:tc>
          <w:tcPr>
            <w:tcW w:w="1686" w:type="dxa"/>
            <w:tcBorders>
              <w:left w:val="single" w:sz="12" w:space="0" w:color="auto"/>
            </w:tcBorders>
            <w:shd w:val="clear" w:color="auto" w:fill="DAE9F7" w:themeFill="text2" w:themeFillTint="1A"/>
          </w:tcPr>
          <w:p w14:paraId="7221D4BA" w14:textId="7CDE9724" w:rsidR="00E57CBC" w:rsidRPr="00B01A30" w:rsidRDefault="00E57CBC" w:rsidP="00B01A30">
            <w:r w:rsidRPr="00B01A30">
              <w:t>Standing Member</w:t>
            </w:r>
          </w:p>
        </w:tc>
        <w:tc>
          <w:tcPr>
            <w:tcW w:w="2265" w:type="dxa"/>
            <w:shd w:val="clear" w:color="auto" w:fill="DAE9F7" w:themeFill="text2" w:themeFillTint="1A"/>
          </w:tcPr>
          <w:p w14:paraId="16EADD42" w14:textId="60A995B2" w:rsidR="00E57CBC" w:rsidRPr="00B01A30" w:rsidRDefault="00E57CBC" w:rsidP="00B01A30">
            <w:r w:rsidRPr="00B01A30">
              <w:t>Debbie Rigby</w:t>
            </w:r>
          </w:p>
        </w:tc>
        <w:tc>
          <w:tcPr>
            <w:tcW w:w="2184" w:type="dxa"/>
            <w:shd w:val="clear" w:color="auto" w:fill="DAE9F7" w:themeFill="text2" w:themeFillTint="1A"/>
          </w:tcPr>
          <w:p w14:paraId="4B36DFDA" w14:textId="67A6AAFB" w:rsidR="00E57CBC" w:rsidRPr="00B01A30" w:rsidRDefault="00E57CBC" w:rsidP="00B01A30">
            <w:r w:rsidRPr="00B01A30">
              <w:t>Chair of the Citizens’ Assembly</w:t>
            </w:r>
          </w:p>
        </w:tc>
        <w:tc>
          <w:tcPr>
            <w:tcW w:w="3064" w:type="dxa"/>
            <w:shd w:val="clear" w:color="auto" w:fill="DAE9F7" w:themeFill="text2" w:themeFillTint="1A"/>
          </w:tcPr>
          <w:p w14:paraId="133694DA" w14:textId="333C2527" w:rsidR="00E57CBC" w:rsidRPr="00B01A30" w:rsidRDefault="00BB5064" w:rsidP="00B01A30">
            <w:r w:rsidRPr="00B01A30">
              <w:t>Citizens’ Assembly</w:t>
            </w:r>
          </w:p>
        </w:tc>
        <w:tc>
          <w:tcPr>
            <w:tcW w:w="1257" w:type="dxa"/>
            <w:tcBorders>
              <w:right w:val="single" w:sz="12" w:space="0" w:color="auto"/>
            </w:tcBorders>
            <w:shd w:val="clear" w:color="auto" w:fill="DAE9F7" w:themeFill="text2" w:themeFillTint="1A"/>
          </w:tcPr>
          <w:p w14:paraId="2FF91CD4" w14:textId="798D1169" w:rsidR="00E57CBC" w:rsidRPr="00B01A30" w:rsidRDefault="00BB5064" w:rsidP="00B01A30">
            <w:r w:rsidRPr="00B01A30">
              <w:t>Yes</w:t>
            </w:r>
          </w:p>
        </w:tc>
      </w:tr>
      <w:tr w:rsidR="009B7DBB" w14:paraId="24FFEA89" w14:textId="77777777" w:rsidTr="00EA1D96">
        <w:tc>
          <w:tcPr>
            <w:tcW w:w="1686" w:type="dxa"/>
            <w:tcBorders>
              <w:left w:val="single" w:sz="12" w:space="0" w:color="auto"/>
              <w:bottom w:val="single" w:sz="12" w:space="0" w:color="auto"/>
            </w:tcBorders>
          </w:tcPr>
          <w:p w14:paraId="46C47FAA" w14:textId="296D5DE4" w:rsidR="009B7DBB" w:rsidRPr="00B01A30" w:rsidRDefault="009B7DBB" w:rsidP="00B01A30">
            <w:r w:rsidRPr="00B01A30">
              <w:t>Standing Member</w:t>
            </w:r>
          </w:p>
        </w:tc>
        <w:tc>
          <w:tcPr>
            <w:tcW w:w="2265" w:type="dxa"/>
            <w:tcBorders>
              <w:bottom w:val="single" w:sz="12" w:space="0" w:color="auto"/>
            </w:tcBorders>
          </w:tcPr>
          <w:p w14:paraId="7B6282F5" w14:textId="41F1C2F7" w:rsidR="009B7DBB" w:rsidRPr="00B01A30" w:rsidRDefault="009B7DBB" w:rsidP="00B01A30">
            <w:r w:rsidRPr="00B01A30">
              <w:t>Rebecca Whitting</w:t>
            </w:r>
          </w:p>
        </w:tc>
        <w:tc>
          <w:tcPr>
            <w:tcW w:w="2184" w:type="dxa"/>
            <w:tcBorders>
              <w:bottom w:val="single" w:sz="12" w:space="0" w:color="auto"/>
            </w:tcBorders>
          </w:tcPr>
          <w:p w14:paraId="0D46E7EB" w14:textId="28D21408" w:rsidR="009B7DBB" w:rsidRPr="00B01A30" w:rsidRDefault="00072FA5" w:rsidP="00B01A30">
            <w:r w:rsidRPr="00B01A30">
              <w:rPr>
                <w:rFonts w:eastAsia="Times New Roman" w:cs="Calibri"/>
                <w:lang w:val="pt-PT" w:eastAsia="en-GB"/>
              </w:rPr>
              <w:t>Ínterim</w:t>
            </w:r>
            <w:r w:rsidR="009B7DBB" w:rsidRPr="00B01A30">
              <w:rPr>
                <w:rFonts w:eastAsia="Times New Roman" w:cs="Calibri"/>
                <w:lang w:val="pt-PT" w:eastAsia="en-GB"/>
              </w:rPr>
              <w:t xml:space="preserve"> Portfolio Director – </w:t>
            </w:r>
            <w:r w:rsidR="009B7DBB" w:rsidRPr="00EA3124">
              <w:rPr>
                <w:rFonts w:eastAsia="Times New Roman" w:cs="Calibri"/>
                <w:lang w:eastAsia="en-GB"/>
              </w:rPr>
              <w:t>Implementation</w:t>
            </w:r>
            <w:r w:rsidR="009B7DBB" w:rsidRPr="00B01A30">
              <w:rPr>
                <w:rFonts w:eastAsia="Times New Roman" w:cs="Calibri"/>
                <w:lang w:val="pt-PT" w:eastAsia="en-GB"/>
              </w:rPr>
              <w:t>, SW HIN</w:t>
            </w:r>
          </w:p>
        </w:tc>
        <w:tc>
          <w:tcPr>
            <w:tcW w:w="3064" w:type="dxa"/>
            <w:tcBorders>
              <w:bottom w:val="single" w:sz="12" w:space="0" w:color="auto"/>
            </w:tcBorders>
          </w:tcPr>
          <w:p w14:paraId="743BE009" w14:textId="20E48967" w:rsidR="009B7DBB" w:rsidRPr="00B01A30" w:rsidRDefault="009B7DBB" w:rsidP="00B01A30">
            <w:r w:rsidRPr="00B01A30">
              <w:rPr>
                <w:rFonts w:eastAsia="Times New Roman" w:cs="Calibri"/>
                <w:lang w:eastAsia="en-GB"/>
              </w:rPr>
              <w:t>South West Health Innovation Network</w:t>
            </w:r>
          </w:p>
        </w:tc>
        <w:tc>
          <w:tcPr>
            <w:tcW w:w="1257" w:type="dxa"/>
            <w:tcBorders>
              <w:bottom w:val="single" w:sz="12" w:space="0" w:color="auto"/>
              <w:right w:val="single" w:sz="12" w:space="0" w:color="auto"/>
            </w:tcBorders>
          </w:tcPr>
          <w:p w14:paraId="380EA5EB" w14:textId="77777777" w:rsidR="009B7DBB" w:rsidRPr="00B01A30" w:rsidRDefault="009B7DBB" w:rsidP="00B01A30"/>
        </w:tc>
      </w:tr>
      <w:tr w:rsidR="009B7DBB" w14:paraId="231DCB3B" w14:textId="77777777" w:rsidTr="00D4527E">
        <w:tc>
          <w:tcPr>
            <w:tcW w:w="10456" w:type="dxa"/>
            <w:gridSpan w:val="5"/>
            <w:tcBorders>
              <w:top w:val="single" w:sz="12" w:space="0" w:color="auto"/>
              <w:left w:val="single" w:sz="12" w:space="0" w:color="auto"/>
              <w:bottom w:val="single" w:sz="12" w:space="0" w:color="auto"/>
              <w:right w:val="single" w:sz="12" w:space="0" w:color="auto"/>
            </w:tcBorders>
          </w:tcPr>
          <w:p w14:paraId="6955FED3" w14:textId="49D92164" w:rsidR="009B7DBB" w:rsidRPr="00B01A30" w:rsidRDefault="009B7DBB" w:rsidP="00B01A30">
            <w:pPr>
              <w:rPr>
                <w:b/>
                <w:bCs/>
              </w:rPr>
            </w:pPr>
            <w:r w:rsidRPr="00B01A30">
              <w:rPr>
                <w:b/>
                <w:bCs/>
              </w:rPr>
              <w:t>Core Members</w:t>
            </w:r>
          </w:p>
        </w:tc>
      </w:tr>
      <w:tr w:rsidR="009B7DBB" w14:paraId="05F58E45" w14:textId="77777777" w:rsidTr="00EA1D96">
        <w:tc>
          <w:tcPr>
            <w:tcW w:w="1686" w:type="dxa"/>
            <w:tcBorders>
              <w:top w:val="single" w:sz="12" w:space="0" w:color="auto"/>
              <w:left w:val="single" w:sz="12" w:space="0" w:color="auto"/>
            </w:tcBorders>
          </w:tcPr>
          <w:p w14:paraId="18ECBB13" w14:textId="2490F19D" w:rsidR="009B7DBB" w:rsidRPr="00B01A30" w:rsidRDefault="009B7DBB" w:rsidP="00B01A30">
            <w:r w:rsidRPr="00B01A30">
              <w:t>Core Member</w:t>
            </w:r>
          </w:p>
        </w:tc>
        <w:tc>
          <w:tcPr>
            <w:tcW w:w="2265" w:type="dxa"/>
            <w:tcBorders>
              <w:top w:val="single" w:sz="12" w:space="0" w:color="auto"/>
            </w:tcBorders>
          </w:tcPr>
          <w:p w14:paraId="4CD1832C" w14:textId="6791E4E1" w:rsidR="009B7DBB" w:rsidRPr="00B01A30" w:rsidRDefault="009B7DBB" w:rsidP="00B01A30">
            <w:r w:rsidRPr="00B01A30">
              <w:t>Dr Mary Backhouse</w:t>
            </w:r>
          </w:p>
        </w:tc>
        <w:tc>
          <w:tcPr>
            <w:tcW w:w="2184" w:type="dxa"/>
            <w:tcBorders>
              <w:top w:val="single" w:sz="12" w:space="0" w:color="auto"/>
            </w:tcBorders>
          </w:tcPr>
          <w:p w14:paraId="1CA1FC76" w14:textId="63068B90" w:rsidR="009B7DBB" w:rsidRPr="00B01A30" w:rsidRDefault="009B7DBB" w:rsidP="00B01A30">
            <w:r w:rsidRPr="00B01A30">
              <w:t>GP</w:t>
            </w:r>
          </w:p>
        </w:tc>
        <w:tc>
          <w:tcPr>
            <w:tcW w:w="3064" w:type="dxa"/>
            <w:tcBorders>
              <w:top w:val="single" w:sz="12" w:space="0" w:color="auto"/>
            </w:tcBorders>
          </w:tcPr>
          <w:p w14:paraId="0D5F0DAB" w14:textId="0D250EDF" w:rsidR="009B7DBB" w:rsidRPr="00B01A30" w:rsidRDefault="009B7DBB" w:rsidP="00B01A30">
            <w:r w:rsidRPr="00B01A30">
              <w:t>North Somerset CCG</w:t>
            </w:r>
          </w:p>
        </w:tc>
        <w:tc>
          <w:tcPr>
            <w:tcW w:w="1257" w:type="dxa"/>
            <w:tcBorders>
              <w:top w:val="single" w:sz="12" w:space="0" w:color="auto"/>
              <w:right w:val="single" w:sz="12" w:space="0" w:color="auto"/>
            </w:tcBorders>
          </w:tcPr>
          <w:p w14:paraId="129C0196" w14:textId="77777777" w:rsidR="009B7DBB" w:rsidRPr="00B01A30" w:rsidRDefault="009B7DBB" w:rsidP="00B01A30"/>
        </w:tc>
      </w:tr>
      <w:tr w:rsidR="009B7DBB" w14:paraId="5F40336C" w14:textId="77777777" w:rsidTr="00EA1D96">
        <w:tc>
          <w:tcPr>
            <w:tcW w:w="1686" w:type="dxa"/>
            <w:tcBorders>
              <w:left w:val="single" w:sz="12" w:space="0" w:color="auto"/>
            </w:tcBorders>
            <w:shd w:val="clear" w:color="auto" w:fill="DAE9F7" w:themeFill="text2" w:themeFillTint="1A"/>
          </w:tcPr>
          <w:p w14:paraId="231E7DB2" w14:textId="348ADCAA" w:rsidR="009B7DBB" w:rsidRPr="00B01A30" w:rsidRDefault="009B7DBB" w:rsidP="00B01A30">
            <w:r w:rsidRPr="00B01A30">
              <w:t>Core Member</w:t>
            </w:r>
          </w:p>
        </w:tc>
        <w:tc>
          <w:tcPr>
            <w:tcW w:w="2265" w:type="dxa"/>
            <w:shd w:val="clear" w:color="auto" w:fill="DAE9F7" w:themeFill="text2" w:themeFillTint="1A"/>
          </w:tcPr>
          <w:p w14:paraId="63C8E742" w14:textId="4E404717" w:rsidR="009B7DBB" w:rsidRPr="00B01A30" w:rsidRDefault="009B7DBB" w:rsidP="00B01A30">
            <w:r w:rsidRPr="00B01A30">
              <w:t>Dr Clare Barlow</w:t>
            </w:r>
          </w:p>
        </w:tc>
        <w:tc>
          <w:tcPr>
            <w:tcW w:w="2184" w:type="dxa"/>
            <w:shd w:val="clear" w:color="auto" w:fill="DAE9F7" w:themeFill="text2" w:themeFillTint="1A"/>
          </w:tcPr>
          <w:p w14:paraId="2D5CC7C3" w14:textId="12F41553" w:rsidR="009B7DBB" w:rsidRPr="00B01A30" w:rsidRDefault="009B7DBB" w:rsidP="00B01A30">
            <w:r w:rsidRPr="00B01A30">
              <w:t>Consultant Medical Oncologist</w:t>
            </w:r>
          </w:p>
        </w:tc>
        <w:tc>
          <w:tcPr>
            <w:tcW w:w="3064" w:type="dxa"/>
            <w:shd w:val="clear" w:color="auto" w:fill="DAE9F7" w:themeFill="text2" w:themeFillTint="1A"/>
          </w:tcPr>
          <w:p w14:paraId="5B68562F" w14:textId="38E2CE12" w:rsidR="009B7DBB" w:rsidRPr="00B01A30" w:rsidRDefault="009B7DBB" w:rsidP="00B01A30">
            <w:r w:rsidRPr="00B01A30">
              <w:t>Somerset Foundation Trust</w:t>
            </w:r>
          </w:p>
        </w:tc>
        <w:tc>
          <w:tcPr>
            <w:tcW w:w="1257" w:type="dxa"/>
            <w:tcBorders>
              <w:right w:val="single" w:sz="12" w:space="0" w:color="auto"/>
            </w:tcBorders>
            <w:shd w:val="clear" w:color="auto" w:fill="DAE9F7" w:themeFill="text2" w:themeFillTint="1A"/>
          </w:tcPr>
          <w:p w14:paraId="4CBF3AD1" w14:textId="700855DD" w:rsidR="009B7DBB" w:rsidRPr="00B01A30" w:rsidRDefault="009B7DBB" w:rsidP="00B01A30">
            <w:r w:rsidRPr="00B01A30">
              <w:t>Yes</w:t>
            </w:r>
          </w:p>
        </w:tc>
      </w:tr>
      <w:tr w:rsidR="009B7DBB" w14:paraId="101E9CAC" w14:textId="77777777" w:rsidTr="00EA1D96">
        <w:tc>
          <w:tcPr>
            <w:tcW w:w="1686" w:type="dxa"/>
            <w:tcBorders>
              <w:left w:val="single" w:sz="12" w:space="0" w:color="auto"/>
            </w:tcBorders>
          </w:tcPr>
          <w:p w14:paraId="2A2564B6" w14:textId="2C626BEE" w:rsidR="009B7DBB" w:rsidRPr="00B01A30" w:rsidRDefault="009B7DBB" w:rsidP="00B01A30">
            <w:r w:rsidRPr="00B01A30">
              <w:t>Core Member</w:t>
            </w:r>
          </w:p>
        </w:tc>
        <w:tc>
          <w:tcPr>
            <w:tcW w:w="2265" w:type="dxa"/>
          </w:tcPr>
          <w:p w14:paraId="32F5419E" w14:textId="0FFE4EE5" w:rsidR="009B7DBB" w:rsidRPr="00B01A30" w:rsidRDefault="009B7DBB" w:rsidP="00B01A30">
            <w:r w:rsidRPr="00B01A30">
              <w:t>Marie Crofts</w:t>
            </w:r>
          </w:p>
        </w:tc>
        <w:tc>
          <w:tcPr>
            <w:tcW w:w="2184" w:type="dxa"/>
          </w:tcPr>
          <w:p w14:paraId="05E31495" w14:textId="6A07C1AD" w:rsidR="009B7DBB" w:rsidRPr="00B01A30" w:rsidRDefault="009B7DBB" w:rsidP="00B01A30">
            <w:r w:rsidRPr="00B01A30">
              <w:t>Chief Nursing Officer</w:t>
            </w:r>
          </w:p>
        </w:tc>
        <w:tc>
          <w:tcPr>
            <w:tcW w:w="3064" w:type="dxa"/>
          </w:tcPr>
          <w:p w14:paraId="7399505C" w14:textId="416DF863" w:rsidR="009B7DBB" w:rsidRPr="00B01A30" w:rsidRDefault="009B7DBB" w:rsidP="00B01A30">
            <w:r w:rsidRPr="00B01A30">
              <w:t>NHS Gloucestershire ICB</w:t>
            </w:r>
          </w:p>
        </w:tc>
        <w:tc>
          <w:tcPr>
            <w:tcW w:w="1257" w:type="dxa"/>
            <w:tcBorders>
              <w:right w:val="single" w:sz="12" w:space="0" w:color="auto"/>
            </w:tcBorders>
          </w:tcPr>
          <w:p w14:paraId="5BACD2C4" w14:textId="2374F8BF" w:rsidR="009B7DBB" w:rsidRPr="00B01A30" w:rsidRDefault="009B7DBB" w:rsidP="00B01A30"/>
        </w:tc>
      </w:tr>
      <w:tr w:rsidR="009B7DBB" w14:paraId="44F2F641" w14:textId="77777777" w:rsidTr="00EA1D96">
        <w:tc>
          <w:tcPr>
            <w:tcW w:w="1686" w:type="dxa"/>
            <w:tcBorders>
              <w:left w:val="single" w:sz="12" w:space="0" w:color="auto"/>
            </w:tcBorders>
          </w:tcPr>
          <w:p w14:paraId="3B61BC9F" w14:textId="2A03E8B2" w:rsidR="009B7DBB" w:rsidRPr="00B01A30" w:rsidRDefault="009B7DBB" w:rsidP="00B01A30">
            <w:r w:rsidRPr="00B01A30">
              <w:lastRenderedPageBreak/>
              <w:t>Core Member</w:t>
            </w:r>
          </w:p>
        </w:tc>
        <w:tc>
          <w:tcPr>
            <w:tcW w:w="2265" w:type="dxa"/>
          </w:tcPr>
          <w:p w14:paraId="2ED570AD" w14:textId="087081E4" w:rsidR="009B7DBB" w:rsidRPr="00B01A30" w:rsidRDefault="009B7DBB" w:rsidP="00B01A30">
            <w:r w:rsidRPr="00B01A30">
              <w:t>Bruce Daniel</w:t>
            </w:r>
          </w:p>
        </w:tc>
        <w:tc>
          <w:tcPr>
            <w:tcW w:w="2184" w:type="dxa"/>
          </w:tcPr>
          <w:p w14:paraId="4D50569E" w14:textId="5BA95074" w:rsidR="009B7DBB" w:rsidRPr="00B01A30" w:rsidRDefault="009B7DBB" w:rsidP="00B01A30">
            <w:r w:rsidRPr="00B01A30">
              <w:t>Head of Pathology</w:t>
            </w:r>
          </w:p>
        </w:tc>
        <w:tc>
          <w:tcPr>
            <w:tcW w:w="3064" w:type="dxa"/>
          </w:tcPr>
          <w:p w14:paraId="1E17C6F7" w14:textId="6B5D5854" w:rsidR="009B7DBB" w:rsidRPr="00B01A30" w:rsidRDefault="009B7DBB" w:rsidP="00B01A30">
            <w:r w:rsidRPr="00B01A30">
              <w:t>NHS England</w:t>
            </w:r>
          </w:p>
        </w:tc>
        <w:tc>
          <w:tcPr>
            <w:tcW w:w="1257" w:type="dxa"/>
            <w:tcBorders>
              <w:right w:val="single" w:sz="12" w:space="0" w:color="auto"/>
            </w:tcBorders>
          </w:tcPr>
          <w:p w14:paraId="1138A3DC" w14:textId="77777777" w:rsidR="009B7DBB" w:rsidRPr="00B01A30" w:rsidRDefault="009B7DBB" w:rsidP="00B01A30"/>
        </w:tc>
      </w:tr>
      <w:tr w:rsidR="009B7DBB" w14:paraId="6A8C1A76" w14:textId="77777777" w:rsidTr="00EA1D96">
        <w:tc>
          <w:tcPr>
            <w:tcW w:w="1686" w:type="dxa"/>
            <w:tcBorders>
              <w:left w:val="single" w:sz="12" w:space="0" w:color="auto"/>
            </w:tcBorders>
            <w:shd w:val="clear" w:color="auto" w:fill="DAE9F7" w:themeFill="text2" w:themeFillTint="1A"/>
          </w:tcPr>
          <w:p w14:paraId="37829DDC" w14:textId="1A8BF6F4" w:rsidR="009B7DBB" w:rsidRPr="00B01A30" w:rsidRDefault="009B7DBB" w:rsidP="00B01A30">
            <w:r w:rsidRPr="00B01A30">
              <w:t>Core Member</w:t>
            </w:r>
          </w:p>
        </w:tc>
        <w:tc>
          <w:tcPr>
            <w:tcW w:w="2265" w:type="dxa"/>
            <w:shd w:val="clear" w:color="auto" w:fill="DAE9F7" w:themeFill="text2" w:themeFillTint="1A"/>
          </w:tcPr>
          <w:p w14:paraId="49A9B7A4" w14:textId="7F82A9B5" w:rsidR="009B7DBB" w:rsidRPr="00B01A30" w:rsidRDefault="009B7DBB" w:rsidP="00B01A30">
            <w:r w:rsidRPr="00B01A30">
              <w:t>Dr Peter Davis</w:t>
            </w:r>
          </w:p>
        </w:tc>
        <w:tc>
          <w:tcPr>
            <w:tcW w:w="2184" w:type="dxa"/>
            <w:shd w:val="clear" w:color="auto" w:fill="DAE9F7" w:themeFill="text2" w:themeFillTint="1A"/>
          </w:tcPr>
          <w:p w14:paraId="0EF6ED24" w14:textId="42AF734C" w:rsidR="009B7DBB" w:rsidRPr="00B01A30" w:rsidRDefault="009B7DBB" w:rsidP="00B01A30">
            <w:r w:rsidRPr="00B01A30">
              <w:t>Consultant Paediatric Intensivist</w:t>
            </w:r>
          </w:p>
        </w:tc>
        <w:tc>
          <w:tcPr>
            <w:tcW w:w="3064" w:type="dxa"/>
            <w:shd w:val="clear" w:color="auto" w:fill="DAE9F7" w:themeFill="text2" w:themeFillTint="1A"/>
          </w:tcPr>
          <w:p w14:paraId="31F43A66" w14:textId="6AB304CA" w:rsidR="009B7DBB" w:rsidRPr="00B01A30" w:rsidRDefault="009B7DBB" w:rsidP="00B01A30">
            <w:r w:rsidRPr="00B01A30">
              <w:t>University Hospitals Bristol &amp; Weston NHS Foundation Trust</w:t>
            </w:r>
          </w:p>
        </w:tc>
        <w:tc>
          <w:tcPr>
            <w:tcW w:w="1257" w:type="dxa"/>
            <w:tcBorders>
              <w:right w:val="single" w:sz="12" w:space="0" w:color="auto"/>
            </w:tcBorders>
            <w:shd w:val="clear" w:color="auto" w:fill="DAE9F7" w:themeFill="text2" w:themeFillTint="1A"/>
          </w:tcPr>
          <w:p w14:paraId="01711700" w14:textId="3D1341CA" w:rsidR="009B7DBB" w:rsidRPr="00B01A30" w:rsidRDefault="009B7DBB" w:rsidP="00B01A30">
            <w:r w:rsidRPr="00B01A30">
              <w:t>Yes</w:t>
            </w:r>
          </w:p>
        </w:tc>
      </w:tr>
      <w:tr w:rsidR="009B7DBB" w14:paraId="1001FE33" w14:textId="77777777" w:rsidTr="00EA1D96">
        <w:tc>
          <w:tcPr>
            <w:tcW w:w="1686" w:type="dxa"/>
            <w:tcBorders>
              <w:left w:val="single" w:sz="12" w:space="0" w:color="auto"/>
            </w:tcBorders>
          </w:tcPr>
          <w:p w14:paraId="4A665BC9" w14:textId="2A13464A" w:rsidR="009B7DBB" w:rsidRPr="00B01A30" w:rsidRDefault="009B7DBB" w:rsidP="00B01A30">
            <w:r w:rsidRPr="00B01A30">
              <w:t>Core Member</w:t>
            </w:r>
          </w:p>
        </w:tc>
        <w:tc>
          <w:tcPr>
            <w:tcW w:w="2265" w:type="dxa"/>
          </w:tcPr>
          <w:p w14:paraId="651B93DF" w14:textId="40E2F8E9" w:rsidR="009B7DBB" w:rsidRPr="00B01A30" w:rsidRDefault="009B7DBB" w:rsidP="00B01A30">
            <w:r w:rsidRPr="00B01A30">
              <w:t>Dr Anne Frampton</w:t>
            </w:r>
          </w:p>
        </w:tc>
        <w:tc>
          <w:tcPr>
            <w:tcW w:w="2184" w:type="dxa"/>
          </w:tcPr>
          <w:p w14:paraId="6E04CC38" w14:textId="1CD840FE" w:rsidR="009B7DBB" w:rsidRPr="00B01A30" w:rsidRDefault="009B7DBB" w:rsidP="00B01A30">
            <w:r w:rsidRPr="00B01A30">
              <w:t>Consultant in Paediatric Emergency Medicine</w:t>
            </w:r>
          </w:p>
        </w:tc>
        <w:tc>
          <w:tcPr>
            <w:tcW w:w="3064" w:type="dxa"/>
          </w:tcPr>
          <w:p w14:paraId="491B6400" w14:textId="2920DDF0" w:rsidR="009B7DBB" w:rsidRPr="00B01A30" w:rsidRDefault="009B7DBB" w:rsidP="00B01A30">
            <w:r w:rsidRPr="00B01A30">
              <w:t>University Hospitals Bristol &amp; Weston NHS Foundation Trust</w:t>
            </w:r>
          </w:p>
        </w:tc>
        <w:tc>
          <w:tcPr>
            <w:tcW w:w="1257" w:type="dxa"/>
            <w:tcBorders>
              <w:right w:val="single" w:sz="12" w:space="0" w:color="auto"/>
            </w:tcBorders>
          </w:tcPr>
          <w:p w14:paraId="3AD81DF4" w14:textId="77777777" w:rsidR="009B7DBB" w:rsidRPr="00B01A30" w:rsidRDefault="009B7DBB" w:rsidP="00B01A30"/>
        </w:tc>
      </w:tr>
      <w:tr w:rsidR="009B7DBB" w14:paraId="21B5068C" w14:textId="77777777" w:rsidTr="00EA1D96">
        <w:tc>
          <w:tcPr>
            <w:tcW w:w="1686" w:type="dxa"/>
            <w:tcBorders>
              <w:left w:val="single" w:sz="12" w:space="0" w:color="auto"/>
            </w:tcBorders>
          </w:tcPr>
          <w:p w14:paraId="120FA0E9" w14:textId="532ECEAA" w:rsidR="009B7DBB" w:rsidRPr="00B01A30" w:rsidRDefault="009B7DBB" w:rsidP="00B01A30">
            <w:r w:rsidRPr="00B01A30">
              <w:t>Core Member</w:t>
            </w:r>
          </w:p>
        </w:tc>
        <w:tc>
          <w:tcPr>
            <w:tcW w:w="2265" w:type="dxa"/>
          </w:tcPr>
          <w:p w14:paraId="47B21D09" w14:textId="50F1828E" w:rsidR="009B7DBB" w:rsidRPr="00B01A30" w:rsidRDefault="009B7DBB" w:rsidP="00B01A30">
            <w:r w:rsidRPr="00B01A30">
              <w:t>Dr Giorgio Gentile</w:t>
            </w:r>
          </w:p>
        </w:tc>
        <w:tc>
          <w:tcPr>
            <w:tcW w:w="2184" w:type="dxa"/>
          </w:tcPr>
          <w:p w14:paraId="1710C16E" w14:textId="325143CA" w:rsidR="009B7DBB" w:rsidRPr="00B01A30" w:rsidRDefault="009B7DBB" w:rsidP="00B01A30">
            <w:r w:rsidRPr="00B01A30">
              <w:t>Consultant Nephrologist</w:t>
            </w:r>
          </w:p>
        </w:tc>
        <w:tc>
          <w:tcPr>
            <w:tcW w:w="3064" w:type="dxa"/>
          </w:tcPr>
          <w:p w14:paraId="78D966A9" w14:textId="12F8FCE1" w:rsidR="009B7DBB" w:rsidRPr="00B01A30" w:rsidRDefault="009B7DBB" w:rsidP="00B01A30">
            <w:r w:rsidRPr="00B01A30">
              <w:t xml:space="preserve">Royal Cornwall Hospitals NHS Trust </w:t>
            </w:r>
          </w:p>
        </w:tc>
        <w:tc>
          <w:tcPr>
            <w:tcW w:w="1257" w:type="dxa"/>
            <w:tcBorders>
              <w:right w:val="single" w:sz="12" w:space="0" w:color="auto"/>
            </w:tcBorders>
          </w:tcPr>
          <w:p w14:paraId="47444918" w14:textId="77777777" w:rsidR="009B7DBB" w:rsidRPr="00B01A30" w:rsidRDefault="009B7DBB" w:rsidP="00B01A30"/>
        </w:tc>
      </w:tr>
      <w:tr w:rsidR="009B7DBB" w14:paraId="7D70AEAC" w14:textId="77777777" w:rsidTr="00EA1D96">
        <w:tc>
          <w:tcPr>
            <w:tcW w:w="1686" w:type="dxa"/>
            <w:tcBorders>
              <w:left w:val="single" w:sz="12" w:space="0" w:color="auto"/>
            </w:tcBorders>
          </w:tcPr>
          <w:p w14:paraId="4B95CF23" w14:textId="4303E923" w:rsidR="009B7DBB" w:rsidRPr="00B01A30" w:rsidRDefault="009B7DBB" w:rsidP="00B01A30">
            <w:r w:rsidRPr="00B01A30">
              <w:t>Core Member</w:t>
            </w:r>
          </w:p>
        </w:tc>
        <w:tc>
          <w:tcPr>
            <w:tcW w:w="2265" w:type="dxa"/>
          </w:tcPr>
          <w:p w14:paraId="1DE85D10" w14:textId="75BF6BC1" w:rsidR="009B7DBB" w:rsidRPr="00B01A30" w:rsidRDefault="009B7DBB" w:rsidP="00B01A30">
            <w:r w:rsidRPr="00B01A30">
              <w:t>Dr Emma Jones</w:t>
            </w:r>
          </w:p>
        </w:tc>
        <w:tc>
          <w:tcPr>
            <w:tcW w:w="2184" w:type="dxa"/>
          </w:tcPr>
          <w:p w14:paraId="7646DF4A" w14:textId="3B1E5246" w:rsidR="009B7DBB" w:rsidRPr="00B01A30" w:rsidRDefault="009B7DBB" w:rsidP="00B01A30">
            <w:r w:rsidRPr="00B01A30">
              <w:t>Consultant Healthcare Scientist in GI Physiology</w:t>
            </w:r>
          </w:p>
        </w:tc>
        <w:tc>
          <w:tcPr>
            <w:tcW w:w="3064" w:type="dxa"/>
          </w:tcPr>
          <w:p w14:paraId="17F107BB" w14:textId="79316BDD" w:rsidR="009B7DBB" w:rsidRPr="00B01A30" w:rsidRDefault="009B7DBB" w:rsidP="00B01A30">
            <w:r w:rsidRPr="00B01A30">
              <w:t>University Hospital Southampton</w:t>
            </w:r>
          </w:p>
        </w:tc>
        <w:tc>
          <w:tcPr>
            <w:tcW w:w="1257" w:type="dxa"/>
            <w:tcBorders>
              <w:right w:val="single" w:sz="12" w:space="0" w:color="auto"/>
            </w:tcBorders>
          </w:tcPr>
          <w:p w14:paraId="14C24F80" w14:textId="77777777" w:rsidR="009B7DBB" w:rsidRPr="00B01A30" w:rsidRDefault="009B7DBB" w:rsidP="00B01A30"/>
        </w:tc>
      </w:tr>
      <w:tr w:rsidR="009B7DBB" w14:paraId="77F132F4" w14:textId="77777777" w:rsidTr="00EA1D96">
        <w:tc>
          <w:tcPr>
            <w:tcW w:w="1686" w:type="dxa"/>
            <w:tcBorders>
              <w:left w:val="single" w:sz="12" w:space="0" w:color="auto"/>
            </w:tcBorders>
          </w:tcPr>
          <w:p w14:paraId="592340E8" w14:textId="60E42630" w:rsidR="009B7DBB" w:rsidRPr="00B01A30" w:rsidRDefault="009B7DBB" w:rsidP="00B01A30">
            <w:r w:rsidRPr="00B01A30">
              <w:t>Core Member</w:t>
            </w:r>
          </w:p>
        </w:tc>
        <w:tc>
          <w:tcPr>
            <w:tcW w:w="2265" w:type="dxa"/>
          </w:tcPr>
          <w:p w14:paraId="4A7CF31E" w14:textId="30DE3EFD" w:rsidR="009B7DBB" w:rsidRPr="00B01A30" w:rsidRDefault="009B7DBB" w:rsidP="00B01A30">
            <w:r w:rsidRPr="00B01A30">
              <w:t>Dr Nicolas Kennedy</w:t>
            </w:r>
          </w:p>
        </w:tc>
        <w:tc>
          <w:tcPr>
            <w:tcW w:w="2184" w:type="dxa"/>
          </w:tcPr>
          <w:p w14:paraId="3687B1B9" w14:textId="3CF3EECF" w:rsidR="009B7DBB" w:rsidRPr="00B01A30" w:rsidRDefault="009B7DBB" w:rsidP="00B01A30">
            <w:r w:rsidRPr="00B01A30">
              <w:t>Consultant Anaesthetist and Intensivist</w:t>
            </w:r>
          </w:p>
        </w:tc>
        <w:tc>
          <w:tcPr>
            <w:tcW w:w="3064" w:type="dxa"/>
          </w:tcPr>
          <w:p w14:paraId="0EB9C84C" w14:textId="7F10BDE9" w:rsidR="009B7DBB" w:rsidRPr="00B01A30" w:rsidRDefault="009B7DBB" w:rsidP="00B01A30">
            <w:r w:rsidRPr="00B01A30">
              <w:t>Somerset NHS Foundation Trust</w:t>
            </w:r>
          </w:p>
        </w:tc>
        <w:tc>
          <w:tcPr>
            <w:tcW w:w="1257" w:type="dxa"/>
            <w:tcBorders>
              <w:right w:val="single" w:sz="12" w:space="0" w:color="auto"/>
            </w:tcBorders>
          </w:tcPr>
          <w:p w14:paraId="0845C708" w14:textId="77777777" w:rsidR="009B7DBB" w:rsidRPr="00B01A30" w:rsidRDefault="009B7DBB" w:rsidP="00B01A30"/>
        </w:tc>
      </w:tr>
      <w:tr w:rsidR="009B7DBB" w14:paraId="2617D4BE" w14:textId="77777777" w:rsidTr="00EA1D96">
        <w:tc>
          <w:tcPr>
            <w:tcW w:w="1686" w:type="dxa"/>
            <w:tcBorders>
              <w:left w:val="single" w:sz="12" w:space="0" w:color="auto"/>
            </w:tcBorders>
          </w:tcPr>
          <w:p w14:paraId="22AC7EE9" w14:textId="104F1F77" w:rsidR="009B7DBB" w:rsidRPr="00B01A30" w:rsidRDefault="009B7DBB" w:rsidP="00B01A30">
            <w:r w:rsidRPr="00B01A30">
              <w:t>Core Member</w:t>
            </w:r>
          </w:p>
        </w:tc>
        <w:tc>
          <w:tcPr>
            <w:tcW w:w="2265" w:type="dxa"/>
          </w:tcPr>
          <w:p w14:paraId="5C7CDBDC" w14:textId="698EB46C" w:rsidR="009B7DBB" w:rsidRPr="00B01A30" w:rsidRDefault="009B7DBB" w:rsidP="00B01A30">
            <w:r w:rsidRPr="00B01A30">
              <w:t>Prof. Minesh Khashu</w:t>
            </w:r>
          </w:p>
        </w:tc>
        <w:tc>
          <w:tcPr>
            <w:tcW w:w="2184" w:type="dxa"/>
          </w:tcPr>
          <w:p w14:paraId="3D0B65A2" w14:textId="78A8A171" w:rsidR="009B7DBB" w:rsidRPr="00B01A30" w:rsidRDefault="009B7DBB" w:rsidP="00B01A30">
            <w:r w:rsidRPr="00B01A30">
              <w:rPr>
                <w:rFonts w:eastAsia="Times New Roman" w:cs="Calibri"/>
                <w:lang w:eastAsia="en-GB"/>
              </w:rPr>
              <w:t>Clinical Lead for Poole Hospital</w:t>
            </w:r>
          </w:p>
        </w:tc>
        <w:tc>
          <w:tcPr>
            <w:tcW w:w="3064" w:type="dxa"/>
          </w:tcPr>
          <w:p w14:paraId="7946C21A" w14:textId="784662F5" w:rsidR="009B7DBB" w:rsidRPr="00B01A30" w:rsidRDefault="009B7DBB" w:rsidP="00B01A30">
            <w:r w:rsidRPr="00B01A30">
              <w:rPr>
                <w:rFonts w:eastAsia="Times New Roman" w:cs="Calibri"/>
                <w:lang w:eastAsia="en-GB"/>
              </w:rPr>
              <w:t>University Hospital Dorset</w:t>
            </w:r>
          </w:p>
        </w:tc>
        <w:tc>
          <w:tcPr>
            <w:tcW w:w="1257" w:type="dxa"/>
            <w:tcBorders>
              <w:right w:val="single" w:sz="12" w:space="0" w:color="auto"/>
            </w:tcBorders>
          </w:tcPr>
          <w:p w14:paraId="2A915FE0" w14:textId="77777777" w:rsidR="009B7DBB" w:rsidRPr="00B01A30" w:rsidRDefault="009B7DBB" w:rsidP="00B01A30"/>
        </w:tc>
      </w:tr>
      <w:tr w:rsidR="009B7DBB" w14:paraId="7D075BEA" w14:textId="77777777" w:rsidTr="00EA1D96">
        <w:tc>
          <w:tcPr>
            <w:tcW w:w="1686" w:type="dxa"/>
            <w:tcBorders>
              <w:left w:val="single" w:sz="12" w:space="0" w:color="auto"/>
            </w:tcBorders>
          </w:tcPr>
          <w:p w14:paraId="6C643A07" w14:textId="66AD08E9" w:rsidR="009B7DBB" w:rsidRPr="00B01A30" w:rsidRDefault="009B7DBB" w:rsidP="00B01A30">
            <w:r w:rsidRPr="00B01A30">
              <w:t>Core Member</w:t>
            </w:r>
          </w:p>
        </w:tc>
        <w:tc>
          <w:tcPr>
            <w:tcW w:w="2265" w:type="dxa"/>
          </w:tcPr>
          <w:p w14:paraId="5B4B6F9F" w14:textId="145DC53C" w:rsidR="009B7DBB" w:rsidRPr="00B01A30" w:rsidRDefault="009B7DBB" w:rsidP="00B01A30">
            <w:r w:rsidRPr="00B01A30">
              <w:t>Hannah Little</w:t>
            </w:r>
          </w:p>
        </w:tc>
        <w:tc>
          <w:tcPr>
            <w:tcW w:w="2184" w:type="dxa"/>
          </w:tcPr>
          <w:p w14:paraId="7806174D" w14:textId="70DA16C8" w:rsidR="009B7DBB" w:rsidRPr="00B01A30" w:rsidRDefault="009B7DBB" w:rsidP="00B01A30">
            <w:r w:rsidRPr="00B01A30">
              <w:rPr>
                <w:rFonts w:eastAsia="Times New Roman" w:cs="Calibri"/>
                <w:lang w:eastAsia="en-GB"/>
              </w:rPr>
              <w:t>Assistant Chief Nursing Officer – cancer services</w:t>
            </w:r>
          </w:p>
        </w:tc>
        <w:tc>
          <w:tcPr>
            <w:tcW w:w="3064" w:type="dxa"/>
          </w:tcPr>
          <w:p w14:paraId="1CB8DE6F" w14:textId="0A49826C" w:rsidR="009B7DBB" w:rsidRPr="00B01A30" w:rsidRDefault="009B7DBB" w:rsidP="00B01A30">
            <w:r w:rsidRPr="00B01A30">
              <w:rPr>
                <w:rFonts w:eastAsia="Times New Roman" w:cs="Calibri"/>
                <w:lang w:eastAsia="en-GB"/>
              </w:rPr>
              <w:t xml:space="preserve">North Bristol NHS Trust </w:t>
            </w:r>
          </w:p>
        </w:tc>
        <w:tc>
          <w:tcPr>
            <w:tcW w:w="1257" w:type="dxa"/>
            <w:tcBorders>
              <w:right w:val="single" w:sz="12" w:space="0" w:color="auto"/>
            </w:tcBorders>
          </w:tcPr>
          <w:p w14:paraId="7B3A0CBB" w14:textId="77777777" w:rsidR="009B7DBB" w:rsidRPr="00B01A30" w:rsidRDefault="009B7DBB" w:rsidP="00B01A30"/>
        </w:tc>
      </w:tr>
      <w:tr w:rsidR="009B7DBB" w14:paraId="1ECC106C" w14:textId="77777777" w:rsidTr="00EA1D96">
        <w:tc>
          <w:tcPr>
            <w:tcW w:w="1686" w:type="dxa"/>
            <w:tcBorders>
              <w:left w:val="single" w:sz="12" w:space="0" w:color="auto"/>
            </w:tcBorders>
          </w:tcPr>
          <w:p w14:paraId="177C0942" w14:textId="587126AE" w:rsidR="009B7DBB" w:rsidRPr="00B01A30" w:rsidRDefault="009B7DBB" w:rsidP="00B01A30">
            <w:r w:rsidRPr="00B01A30">
              <w:t>Core Member</w:t>
            </w:r>
          </w:p>
        </w:tc>
        <w:tc>
          <w:tcPr>
            <w:tcW w:w="2265" w:type="dxa"/>
          </w:tcPr>
          <w:p w14:paraId="2A322261" w14:textId="7D62EB95" w:rsidR="009B7DBB" w:rsidRPr="00B01A30" w:rsidRDefault="009B7DBB" w:rsidP="00B01A30">
            <w:r w:rsidRPr="00B01A30">
              <w:t>Dr Ann Lyons</w:t>
            </w:r>
          </w:p>
        </w:tc>
        <w:tc>
          <w:tcPr>
            <w:tcW w:w="2184" w:type="dxa"/>
          </w:tcPr>
          <w:p w14:paraId="605DA3B6" w14:textId="4FC41E00" w:rsidR="009B7DBB" w:rsidRPr="00B01A30" w:rsidRDefault="009B7DBB" w:rsidP="00B01A30">
            <w:r w:rsidRPr="00B01A30">
              <w:t>Consultant Colorectal Surgeon</w:t>
            </w:r>
          </w:p>
        </w:tc>
        <w:tc>
          <w:tcPr>
            <w:tcW w:w="3064" w:type="dxa"/>
          </w:tcPr>
          <w:p w14:paraId="035E75B8" w14:textId="6E21CF5A" w:rsidR="009B7DBB" w:rsidRPr="00B01A30" w:rsidRDefault="009B7DBB" w:rsidP="00B01A30">
            <w:r w:rsidRPr="00B01A30">
              <w:rPr>
                <w:rFonts w:eastAsia="Times New Roman" w:cs="Calibri"/>
                <w:lang w:eastAsia="en-GB"/>
              </w:rPr>
              <w:t>North Bristol NHS Trust</w:t>
            </w:r>
          </w:p>
        </w:tc>
        <w:tc>
          <w:tcPr>
            <w:tcW w:w="1257" w:type="dxa"/>
            <w:tcBorders>
              <w:right w:val="single" w:sz="12" w:space="0" w:color="auto"/>
            </w:tcBorders>
          </w:tcPr>
          <w:p w14:paraId="59D6C18C" w14:textId="77777777" w:rsidR="009B7DBB" w:rsidRPr="00B01A30" w:rsidRDefault="009B7DBB" w:rsidP="00B01A30"/>
        </w:tc>
      </w:tr>
      <w:tr w:rsidR="009B7DBB" w14:paraId="7F504162" w14:textId="77777777" w:rsidTr="00EA1D96">
        <w:tc>
          <w:tcPr>
            <w:tcW w:w="1686" w:type="dxa"/>
            <w:tcBorders>
              <w:left w:val="single" w:sz="12" w:space="0" w:color="auto"/>
            </w:tcBorders>
            <w:shd w:val="clear" w:color="auto" w:fill="DAE9F7" w:themeFill="text2" w:themeFillTint="1A"/>
          </w:tcPr>
          <w:p w14:paraId="18B94F8D" w14:textId="3266259B" w:rsidR="009B7DBB" w:rsidRPr="00B01A30" w:rsidRDefault="009B7DBB" w:rsidP="00B01A30">
            <w:r w:rsidRPr="00B01A30">
              <w:t>Core Member</w:t>
            </w:r>
          </w:p>
        </w:tc>
        <w:tc>
          <w:tcPr>
            <w:tcW w:w="2265" w:type="dxa"/>
            <w:shd w:val="clear" w:color="auto" w:fill="DAE9F7" w:themeFill="text2" w:themeFillTint="1A"/>
          </w:tcPr>
          <w:p w14:paraId="5436BB68" w14:textId="6836C891" w:rsidR="009B7DBB" w:rsidRPr="00B01A30" w:rsidRDefault="009B7DBB" w:rsidP="00B01A30">
            <w:r w:rsidRPr="00B01A30">
              <w:t>Joanne Meacham</w:t>
            </w:r>
          </w:p>
        </w:tc>
        <w:tc>
          <w:tcPr>
            <w:tcW w:w="2184" w:type="dxa"/>
            <w:shd w:val="clear" w:color="auto" w:fill="DAE9F7" w:themeFill="text2" w:themeFillTint="1A"/>
          </w:tcPr>
          <w:p w14:paraId="52C06643" w14:textId="2C83A3FA" w:rsidR="009B7DBB" w:rsidRPr="00B01A30" w:rsidRDefault="009B7DBB" w:rsidP="00B01A30">
            <w:r w:rsidRPr="00B01A30">
              <w:t>Head of Nursing Adult Community Services</w:t>
            </w:r>
          </w:p>
        </w:tc>
        <w:tc>
          <w:tcPr>
            <w:tcW w:w="3064" w:type="dxa"/>
            <w:shd w:val="clear" w:color="auto" w:fill="DAE9F7" w:themeFill="text2" w:themeFillTint="1A"/>
          </w:tcPr>
          <w:p w14:paraId="3A1FFE3E" w14:textId="77777777" w:rsidR="009B7DBB" w:rsidRPr="00B01A30" w:rsidRDefault="009B7DBB" w:rsidP="00B01A30"/>
        </w:tc>
        <w:tc>
          <w:tcPr>
            <w:tcW w:w="1257" w:type="dxa"/>
            <w:tcBorders>
              <w:right w:val="single" w:sz="12" w:space="0" w:color="auto"/>
            </w:tcBorders>
            <w:shd w:val="clear" w:color="auto" w:fill="DAE9F7" w:themeFill="text2" w:themeFillTint="1A"/>
          </w:tcPr>
          <w:p w14:paraId="78696B8F" w14:textId="2E87C44A" w:rsidR="009B7DBB" w:rsidRPr="00B01A30" w:rsidRDefault="009B7DBB" w:rsidP="00B01A30">
            <w:r w:rsidRPr="00B01A30">
              <w:t>Yes</w:t>
            </w:r>
          </w:p>
        </w:tc>
      </w:tr>
      <w:tr w:rsidR="009B7DBB" w14:paraId="610D3A99" w14:textId="77777777" w:rsidTr="00EA1D96">
        <w:tc>
          <w:tcPr>
            <w:tcW w:w="1686" w:type="dxa"/>
            <w:tcBorders>
              <w:left w:val="single" w:sz="12" w:space="0" w:color="auto"/>
            </w:tcBorders>
          </w:tcPr>
          <w:p w14:paraId="1CFD8231" w14:textId="46719508" w:rsidR="009B7DBB" w:rsidRPr="00B01A30" w:rsidRDefault="009B7DBB" w:rsidP="00B01A30">
            <w:r w:rsidRPr="00B01A30">
              <w:t>Core Member</w:t>
            </w:r>
          </w:p>
        </w:tc>
        <w:tc>
          <w:tcPr>
            <w:tcW w:w="2265" w:type="dxa"/>
          </w:tcPr>
          <w:p w14:paraId="34B4FCBE" w14:textId="5F961DAE" w:rsidR="009B7DBB" w:rsidRPr="00B01A30" w:rsidRDefault="009B7DBB" w:rsidP="00B01A30">
            <w:r w:rsidRPr="00B01A30">
              <w:t>Will Mongare</w:t>
            </w:r>
          </w:p>
        </w:tc>
        <w:tc>
          <w:tcPr>
            <w:tcW w:w="2184" w:type="dxa"/>
          </w:tcPr>
          <w:p w14:paraId="1E50C5FD" w14:textId="69017F77" w:rsidR="009B7DBB" w:rsidRPr="00B01A30" w:rsidRDefault="009B7DBB" w:rsidP="00B01A30">
            <w:r w:rsidRPr="00B01A30">
              <w:t>Clinical Nursing and Quality Manager / CAMHS Case Manager</w:t>
            </w:r>
          </w:p>
        </w:tc>
        <w:tc>
          <w:tcPr>
            <w:tcW w:w="3064" w:type="dxa"/>
          </w:tcPr>
          <w:p w14:paraId="1BC840E5" w14:textId="201175D6" w:rsidR="009B7DBB" w:rsidRPr="00B01A30" w:rsidRDefault="009B7DBB" w:rsidP="00B01A30">
            <w:r w:rsidRPr="00B01A30">
              <w:t>NHS England</w:t>
            </w:r>
          </w:p>
        </w:tc>
        <w:tc>
          <w:tcPr>
            <w:tcW w:w="1257" w:type="dxa"/>
            <w:tcBorders>
              <w:right w:val="single" w:sz="12" w:space="0" w:color="auto"/>
            </w:tcBorders>
          </w:tcPr>
          <w:p w14:paraId="6C6E5DB1" w14:textId="77777777" w:rsidR="009B7DBB" w:rsidRPr="00B01A30" w:rsidRDefault="009B7DBB" w:rsidP="00B01A30"/>
        </w:tc>
      </w:tr>
      <w:tr w:rsidR="009B7DBB" w14:paraId="54F3DB2A" w14:textId="77777777" w:rsidTr="00EA1D96">
        <w:tc>
          <w:tcPr>
            <w:tcW w:w="1686" w:type="dxa"/>
            <w:tcBorders>
              <w:left w:val="single" w:sz="12" w:space="0" w:color="auto"/>
            </w:tcBorders>
            <w:shd w:val="clear" w:color="auto" w:fill="DAE9F7" w:themeFill="text2" w:themeFillTint="1A"/>
          </w:tcPr>
          <w:p w14:paraId="0D5B65DA" w14:textId="48B49146" w:rsidR="009B7DBB" w:rsidRPr="00B01A30" w:rsidRDefault="009B7DBB" w:rsidP="00B01A30">
            <w:r w:rsidRPr="00B01A30">
              <w:t>Core Member</w:t>
            </w:r>
          </w:p>
        </w:tc>
        <w:tc>
          <w:tcPr>
            <w:tcW w:w="2265" w:type="dxa"/>
            <w:shd w:val="clear" w:color="auto" w:fill="DAE9F7" w:themeFill="text2" w:themeFillTint="1A"/>
          </w:tcPr>
          <w:p w14:paraId="67E742F5" w14:textId="0D944D05" w:rsidR="009B7DBB" w:rsidRPr="00B01A30" w:rsidRDefault="009B7DBB" w:rsidP="00B01A30">
            <w:r w:rsidRPr="00B01A30">
              <w:t>Dr Anita Pearson</w:t>
            </w:r>
          </w:p>
        </w:tc>
        <w:tc>
          <w:tcPr>
            <w:tcW w:w="2184" w:type="dxa"/>
            <w:shd w:val="clear" w:color="auto" w:fill="DAE9F7" w:themeFill="text2" w:themeFillTint="1A"/>
          </w:tcPr>
          <w:p w14:paraId="2E009436" w14:textId="586A368E" w:rsidR="009B7DBB" w:rsidRPr="00B01A30" w:rsidRDefault="009B7DBB" w:rsidP="00B01A30">
            <w:r w:rsidRPr="00B01A30">
              <w:t>Specialist in Gender Health Care</w:t>
            </w:r>
          </w:p>
        </w:tc>
        <w:tc>
          <w:tcPr>
            <w:tcW w:w="3064" w:type="dxa"/>
            <w:shd w:val="clear" w:color="auto" w:fill="DAE9F7" w:themeFill="text2" w:themeFillTint="1A"/>
          </w:tcPr>
          <w:p w14:paraId="6742A1F9" w14:textId="03C768FE" w:rsidR="009B7DBB" w:rsidRPr="00B01A30" w:rsidRDefault="009B7DBB" w:rsidP="00B01A30">
            <w:r w:rsidRPr="00B01A30">
              <w:t>Devon Partnership Trust</w:t>
            </w:r>
          </w:p>
        </w:tc>
        <w:tc>
          <w:tcPr>
            <w:tcW w:w="1257" w:type="dxa"/>
            <w:tcBorders>
              <w:right w:val="single" w:sz="12" w:space="0" w:color="auto"/>
            </w:tcBorders>
            <w:shd w:val="clear" w:color="auto" w:fill="DAE9F7" w:themeFill="text2" w:themeFillTint="1A"/>
          </w:tcPr>
          <w:p w14:paraId="024CBCCE" w14:textId="524224D9" w:rsidR="009B7DBB" w:rsidRPr="00B01A30" w:rsidRDefault="009B7DBB" w:rsidP="00B01A30">
            <w:r w:rsidRPr="00B01A30">
              <w:t>Yes</w:t>
            </w:r>
          </w:p>
        </w:tc>
      </w:tr>
      <w:tr w:rsidR="009B7DBB" w14:paraId="305E352A" w14:textId="77777777" w:rsidTr="00EA1D96">
        <w:tc>
          <w:tcPr>
            <w:tcW w:w="1686" w:type="dxa"/>
            <w:tcBorders>
              <w:left w:val="single" w:sz="12" w:space="0" w:color="auto"/>
            </w:tcBorders>
          </w:tcPr>
          <w:p w14:paraId="4D618B32" w14:textId="44CBBA28" w:rsidR="009B7DBB" w:rsidRPr="00B01A30" w:rsidRDefault="009B7DBB" w:rsidP="00B01A30">
            <w:r w:rsidRPr="00B01A30">
              <w:t>Core Member</w:t>
            </w:r>
          </w:p>
        </w:tc>
        <w:tc>
          <w:tcPr>
            <w:tcW w:w="2265" w:type="dxa"/>
          </w:tcPr>
          <w:p w14:paraId="1880B940" w14:textId="2FBEFFA1" w:rsidR="009B7DBB" w:rsidRPr="00B01A30" w:rsidRDefault="009B7DBB" w:rsidP="00B01A30">
            <w:r w:rsidRPr="00B01A30">
              <w:t>Miss Anne Pullyblank</w:t>
            </w:r>
          </w:p>
        </w:tc>
        <w:tc>
          <w:tcPr>
            <w:tcW w:w="2184" w:type="dxa"/>
          </w:tcPr>
          <w:p w14:paraId="1D4F7DDB" w14:textId="7ED6B85A" w:rsidR="009B7DBB" w:rsidRPr="00B01A30" w:rsidRDefault="009B7DBB" w:rsidP="00B01A30">
            <w:r w:rsidRPr="00B01A30">
              <w:t>Consultant Colorectal Surgeon</w:t>
            </w:r>
          </w:p>
        </w:tc>
        <w:tc>
          <w:tcPr>
            <w:tcW w:w="3064" w:type="dxa"/>
          </w:tcPr>
          <w:p w14:paraId="0D9BF77B" w14:textId="7D532B38" w:rsidR="009B7DBB" w:rsidRPr="00B01A30" w:rsidRDefault="009B7DBB" w:rsidP="00B01A30">
            <w:r w:rsidRPr="00B01A30">
              <w:t>North Bristol NHS Trust</w:t>
            </w:r>
          </w:p>
        </w:tc>
        <w:tc>
          <w:tcPr>
            <w:tcW w:w="1257" w:type="dxa"/>
            <w:tcBorders>
              <w:right w:val="single" w:sz="12" w:space="0" w:color="auto"/>
            </w:tcBorders>
          </w:tcPr>
          <w:p w14:paraId="3371D0A6" w14:textId="77777777" w:rsidR="009B7DBB" w:rsidRPr="00B01A30" w:rsidRDefault="009B7DBB" w:rsidP="00B01A30"/>
        </w:tc>
      </w:tr>
      <w:tr w:rsidR="009B7DBB" w14:paraId="1777A177" w14:textId="77777777" w:rsidTr="00EA1D96">
        <w:tc>
          <w:tcPr>
            <w:tcW w:w="1686" w:type="dxa"/>
            <w:tcBorders>
              <w:left w:val="single" w:sz="12" w:space="0" w:color="auto"/>
            </w:tcBorders>
            <w:shd w:val="clear" w:color="auto" w:fill="DAE9F7" w:themeFill="text2" w:themeFillTint="1A"/>
          </w:tcPr>
          <w:p w14:paraId="67EA9534" w14:textId="56CD37FC" w:rsidR="009B7DBB" w:rsidRPr="00B01A30" w:rsidRDefault="009B7DBB" w:rsidP="00B01A30">
            <w:r w:rsidRPr="00B01A30">
              <w:t>Core Member</w:t>
            </w:r>
          </w:p>
        </w:tc>
        <w:tc>
          <w:tcPr>
            <w:tcW w:w="2265" w:type="dxa"/>
            <w:shd w:val="clear" w:color="auto" w:fill="DAE9F7" w:themeFill="text2" w:themeFillTint="1A"/>
          </w:tcPr>
          <w:p w14:paraId="26E08367" w14:textId="74792E1A" w:rsidR="009B7DBB" w:rsidRPr="00B01A30" w:rsidRDefault="009B7DBB" w:rsidP="00B01A30">
            <w:r w:rsidRPr="00B01A30">
              <w:t>Dr Amelia Randle</w:t>
            </w:r>
          </w:p>
        </w:tc>
        <w:tc>
          <w:tcPr>
            <w:tcW w:w="2184" w:type="dxa"/>
            <w:shd w:val="clear" w:color="auto" w:fill="DAE9F7" w:themeFill="text2" w:themeFillTint="1A"/>
          </w:tcPr>
          <w:p w14:paraId="0E1DC463" w14:textId="69A11918" w:rsidR="009B7DBB" w:rsidRPr="00B01A30" w:rsidRDefault="009B7DBB" w:rsidP="00B01A30">
            <w:r w:rsidRPr="00B01A30">
              <w:t>Clinical Lead SWAG Cancer Alliance and GP</w:t>
            </w:r>
          </w:p>
        </w:tc>
        <w:tc>
          <w:tcPr>
            <w:tcW w:w="3064" w:type="dxa"/>
            <w:shd w:val="clear" w:color="auto" w:fill="DAE9F7" w:themeFill="text2" w:themeFillTint="1A"/>
          </w:tcPr>
          <w:p w14:paraId="2703C5C2" w14:textId="34A8B0BA" w:rsidR="009B7DBB" w:rsidRPr="00B01A30" w:rsidRDefault="009B7DBB" w:rsidP="00B01A30">
            <w:r w:rsidRPr="00B01A30">
              <w:t>Somerset CCG</w:t>
            </w:r>
          </w:p>
        </w:tc>
        <w:tc>
          <w:tcPr>
            <w:tcW w:w="1257" w:type="dxa"/>
            <w:tcBorders>
              <w:right w:val="single" w:sz="12" w:space="0" w:color="auto"/>
            </w:tcBorders>
            <w:shd w:val="clear" w:color="auto" w:fill="DAE9F7" w:themeFill="text2" w:themeFillTint="1A"/>
          </w:tcPr>
          <w:p w14:paraId="56C67B5E" w14:textId="3E23DEAB" w:rsidR="009B7DBB" w:rsidRPr="00B01A30" w:rsidRDefault="009B7DBB" w:rsidP="00B01A30">
            <w:r w:rsidRPr="00B01A30">
              <w:t>Yes</w:t>
            </w:r>
          </w:p>
        </w:tc>
      </w:tr>
      <w:tr w:rsidR="009B7DBB" w14:paraId="704DEDC0" w14:textId="77777777" w:rsidTr="00EA1D96">
        <w:tc>
          <w:tcPr>
            <w:tcW w:w="1686" w:type="dxa"/>
            <w:tcBorders>
              <w:left w:val="single" w:sz="12" w:space="0" w:color="auto"/>
            </w:tcBorders>
          </w:tcPr>
          <w:p w14:paraId="7D8CF88E" w14:textId="4899F627" w:rsidR="009B7DBB" w:rsidRPr="00B01A30" w:rsidRDefault="009D4771" w:rsidP="00B01A30">
            <w:r w:rsidRPr="00B01A30">
              <w:lastRenderedPageBreak/>
              <w:t>Core Member</w:t>
            </w:r>
          </w:p>
        </w:tc>
        <w:tc>
          <w:tcPr>
            <w:tcW w:w="2265" w:type="dxa"/>
          </w:tcPr>
          <w:p w14:paraId="230AB69A" w14:textId="5C7487DC" w:rsidR="009B7DBB" w:rsidRPr="00B01A30" w:rsidRDefault="009B7DBB" w:rsidP="00B01A30">
            <w:r w:rsidRPr="00B01A30">
              <w:t>Rebecca Reynolds</w:t>
            </w:r>
          </w:p>
        </w:tc>
        <w:tc>
          <w:tcPr>
            <w:tcW w:w="2184" w:type="dxa"/>
          </w:tcPr>
          <w:p w14:paraId="6D0BFFB8" w14:textId="2301EB2D" w:rsidR="009B7DBB" w:rsidRPr="00B01A30" w:rsidRDefault="009D4771" w:rsidP="00B01A30">
            <w:r w:rsidRPr="00B01A30">
              <w:t>Director of Public Health</w:t>
            </w:r>
          </w:p>
        </w:tc>
        <w:tc>
          <w:tcPr>
            <w:tcW w:w="3064" w:type="dxa"/>
          </w:tcPr>
          <w:p w14:paraId="005E2484" w14:textId="0BF5F5E0" w:rsidR="009B7DBB" w:rsidRPr="00B01A30" w:rsidRDefault="009D4771" w:rsidP="00B01A30">
            <w:r w:rsidRPr="00B01A30">
              <w:t>BATHNES Council</w:t>
            </w:r>
          </w:p>
        </w:tc>
        <w:tc>
          <w:tcPr>
            <w:tcW w:w="1257" w:type="dxa"/>
            <w:tcBorders>
              <w:right w:val="single" w:sz="12" w:space="0" w:color="auto"/>
            </w:tcBorders>
          </w:tcPr>
          <w:p w14:paraId="36AB9A5F" w14:textId="77777777" w:rsidR="009B7DBB" w:rsidRPr="00B01A30" w:rsidRDefault="009B7DBB" w:rsidP="00B01A30"/>
        </w:tc>
      </w:tr>
      <w:tr w:rsidR="009B7DBB" w14:paraId="1B88EB95" w14:textId="77777777" w:rsidTr="00EA1D96">
        <w:tc>
          <w:tcPr>
            <w:tcW w:w="1686" w:type="dxa"/>
            <w:tcBorders>
              <w:left w:val="single" w:sz="12" w:space="0" w:color="auto"/>
            </w:tcBorders>
            <w:shd w:val="clear" w:color="auto" w:fill="DAE9F7" w:themeFill="text2" w:themeFillTint="1A"/>
          </w:tcPr>
          <w:p w14:paraId="6466EA35" w14:textId="0802188A" w:rsidR="009B7DBB" w:rsidRPr="00B01A30" w:rsidRDefault="008E7387" w:rsidP="00B01A30">
            <w:r w:rsidRPr="00B01A30">
              <w:t>Core Member</w:t>
            </w:r>
          </w:p>
        </w:tc>
        <w:tc>
          <w:tcPr>
            <w:tcW w:w="2265" w:type="dxa"/>
            <w:shd w:val="clear" w:color="auto" w:fill="DAE9F7" w:themeFill="text2" w:themeFillTint="1A"/>
          </w:tcPr>
          <w:p w14:paraId="7107C010" w14:textId="4B3C53C8" w:rsidR="009B7DBB" w:rsidRPr="00B01A30" w:rsidRDefault="009B7DBB" w:rsidP="00B01A30">
            <w:r w:rsidRPr="00B01A30">
              <w:t>Lynn Sawyer</w:t>
            </w:r>
          </w:p>
        </w:tc>
        <w:tc>
          <w:tcPr>
            <w:tcW w:w="2184" w:type="dxa"/>
            <w:shd w:val="clear" w:color="auto" w:fill="DAE9F7" w:themeFill="text2" w:themeFillTint="1A"/>
          </w:tcPr>
          <w:p w14:paraId="51600F03" w14:textId="29FF7A79" w:rsidR="009B7DBB" w:rsidRPr="00B01A30" w:rsidRDefault="008E7387" w:rsidP="00B01A30">
            <w:r w:rsidRPr="00B01A30">
              <w:t>Deputy Chief AHP</w:t>
            </w:r>
          </w:p>
        </w:tc>
        <w:tc>
          <w:tcPr>
            <w:tcW w:w="3064" w:type="dxa"/>
            <w:shd w:val="clear" w:color="auto" w:fill="DAE9F7" w:themeFill="text2" w:themeFillTint="1A"/>
          </w:tcPr>
          <w:p w14:paraId="6D2CC0D3" w14:textId="6D18A53A" w:rsidR="009B7DBB" w:rsidRPr="00B01A30" w:rsidRDefault="008E7387" w:rsidP="00B01A30">
            <w:r w:rsidRPr="00B01A30">
              <w:t>North Bristol NHS Trust</w:t>
            </w:r>
          </w:p>
        </w:tc>
        <w:tc>
          <w:tcPr>
            <w:tcW w:w="1257" w:type="dxa"/>
            <w:tcBorders>
              <w:right w:val="single" w:sz="12" w:space="0" w:color="auto"/>
            </w:tcBorders>
            <w:shd w:val="clear" w:color="auto" w:fill="DAE9F7" w:themeFill="text2" w:themeFillTint="1A"/>
          </w:tcPr>
          <w:p w14:paraId="68EE5D94" w14:textId="098AD2F1" w:rsidR="009B7DBB" w:rsidRPr="00B01A30" w:rsidRDefault="008E7387" w:rsidP="00B01A30">
            <w:r w:rsidRPr="00B01A30">
              <w:t>Yes</w:t>
            </w:r>
          </w:p>
        </w:tc>
      </w:tr>
      <w:tr w:rsidR="009B7DBB" w14:paraId="31DD9AA8" w14:textId="77777777" w:rsidTr="00EA1D96">
        <w:tc>
          <w:tcPr>
            <w:tcW w:w="1686" w:type="dxa"/>
            <w:tcBorders>
              <w:left w:val="single" w:sz="12" w:space="0" w:color="auto"/>
            </w:tcBorders>
            <w:shd w:val="clear" w:color="auto" w:fill="DAE9F7" w:themeFill="text2" w:themeFillTint="1A"/>
          </w:tcPr>
          <w:p w14:paraId="15FC791C" w14:textId="10964EC2" w:rsidR="009B7DBB" w:rsidRPr="00B01A30" w:rsidRDefault="00B83CA5" w:rsidP="00B01A30">
            <w:r w:rsidRPr="00B01A30">
              <w:t>Core Member</w:t>
            </w:r>
          </w:p>
        </w:tc>
        <w:tc>
          <w:tcPr>
            <w:tcW w:w="2265" w:type="dxa"/>
            <w:shd w:val="clear" w:color="auto" w:fill="DAE9F7" w:themeFill="text2" w:themeFillTint="1A"/>
          </w:tcPr>
          <w:p w14:paraId="36A568B6" w14:textId="35F869B8" w:rsidR="009B7DBB" w:rsidRPr="00B01A30" w:rsidRDefault="009B7DBB" w:rsidP="00B01A30">
            <w:r w:rsidRPr="00B01A30">
              <w:t>Alex Sharp</w:t>
            </w:r>
          </w:p>
        </w:tc>
        <w:tc>
          <w:tcPr>
            <w:tcW w:w="2184" w:type="dxa"/>
            <w:shd w:val="clear" w:color="auto" w:fill="DAE9F7" w:themeFill="text2" w:themeFillTint="1A"/>
          </w:tcPr>
          <w:p w14:paraId="02AEDF32" w14:textId="151786D6" w:rsidR="009B7DBB" w:rsidRPr="00B01A30" w:rsidRDefault="00B83CA5" w:rsidP="00B01A30">
            <w:r w:rsidRPr="00B01A30">
              <w:t>Head of Clinical Development</w:t>
            </w:r>
          </w:p>
        </w:tc>
        <w:tc>
          <w:tcPr>
            <w:tcW w:w="3064" w:type="dxa"/>
            <w:shd w:val="clear" w:color="auto" w:fill="DAE9F7" w:themeFill="text2" w:themeFillTint="1A"/>
          </w:tcPr>
          <w:p w14:paraId="09B522CF" w14:textId="6A4B0A99" w:rsidR="009B7DBB" w:rsidRPr="00B01A30" w:rsidRDefault="00B83CA5" w:rsidP="00B01A30">
            <w:r w:rsidRPr="00B01A30">
              <w:t>SWASFT</w:t>
            </w:r>
          </w:p>
        </w:tc>
        <w:tc>
          <w:tcPr>
            <w:tcW w:w="1257" w:type="dxa"/>
            <w:tcBorders>
              <w:right w:val="single" w:sz="12" w:space="0" w:color="auto"/>
            </w:tcBorders>
            <w:shd w:val="clear" w:color="auto" w:fill="DAE9F7" w:themeFill="text2" w:themeFillTint="1A"/>
          </w:tcPr>
          <w:p w14:paraId="05052809" w14:textId="62BC8798" w:rsidR="009B7DBB" w:rsidRPr="00B01A30" w:rsidRDefault="008E7387" w:rsidP="00B01A30">
            <w:r w:rsidRPr="00B01A30">
              <w:t>Yes</w:t>
            </w:r>
          </w:p>
        </w:tc>
      </w:tr>
      <w:tr w:rsidR="009B7DBB" w14:paraId="27D0F38D" w14:textId="77777777" w:rsidTr="00EA1D96">
        <w:tc>
          <w:tcPr>
            <w:tcW w:w="1686" w:type="dxa"/>
            <w:tcBorders>
              <w:left w:val="single" w:sz="12" w:space="0" w:color="auto"/>
            </w:tcBorders>
          </w:tcPr>
          <w:p w14:paraId="2970B68A" w14:textId="593DA9D4" w:rsidR="009B7DBB" w:rsidRPr="00B01A30" w:rsidRDefault="00B83CA5" w:rsidP="00B01A30">
            <w:r w:rsidRPr="00B01A30">
              <w:t>Core Member</w:t>
            </w:r>
          </w:p>
        </w:tc>
        <w:tc>
          <w:tcPr>
            <w:tcW w:w="2265" w:type="dxa"/>
          </w:tcPr>
          <w:p w14:paraId="58785519" w14:textId="20E19621" w:rsidR="009B7DBB" w:rsidRPr="00B01A30" w:rsidRDefault="009B7DBB" w:rsidP="00B01A30">
            <w:r w:rsidRPr="00B01A30">
              <w:t>Prof Parag Singhal</w:t>
            </w:r>
          </w:p>
        </w:tc>
        <w:tc>
          <w:tcPr>
            <w:tcW w:w="2184" w:type="dxa"/>
          </w:tcPr>
          <w:p w14:paraId="1B658E01" w14:textId="411459AC" w:rsidR="009B7DBB" w:rsidRPr="00B01A30" w:rsidRDefault="00B83CA5" w:rsidP="00B01A30">
            <w:r w:rsidRPr="00B01A30">
              <w:t>Consultant General Medicine, Diabetes and Endocrinology</w:t>
            </w:r>
          </w:p>
        </w:tc>
        <w:tc>
          <w:tcPr>
            <w:tcW w:w="3064" w:type="dxa"/>
          </w:tcPr>
          <w:p w14:paraId="220581C0" w14:textId="4BE915D3" w:rsidR="009B7DBB" w:rsidRPr="00B01A30" w:rsidRDefault="00B83CA5" w:rsidP="00B01A30">
            <w:r w:rsidRPr="00B01A30">
              <w:t>University Hospitals Bristol and Weston</w:t>
            </w:r>
            <w:r w:rsidR="00E91623" w:rsidRPr="00B01A30">
              <w:t xml:space="preserve"> NHS Foundation Trust</w:t>
            </w:r>
          </w:p>
        </w:tc>
        <w:tc>
          <w:tcPr>
            <w:tcW w:w="1257" w:type="dxa"/>
            <w:tcBorders>
              <w:right w:val="single" w:sz="12" w:space="0" w:color="auto"/>
            </w:tcBorders>
          </w:tcPr>
          <w:p w14:paraId="484F5DDE" w14:textId="77777777" w:rsidR="009B7DBB" w:rsidRPr="00B01A30" w:rsidRDefault="009B7DBB" w:rsidP="00B01A30"/>
        </w:tc>
      </w:tr>
      <w:tr w:rsidR="009B7DBB" w14:paraId="1AEC2D41" w14:textId="77777777" w:rsidTr="00EA1D96">
        <w:tc>
          <w:tcPr>
            <w:tcW w:w="1686" w:type="dxa"/>
            <w:tcBorders>
              <w:left w:val="single" w:sz="12" w:space="0" w:color="auto"/>
            </w:tcBorders>
          </w:tcPr>
          <w:p w14:paraId="7C9E9DCB" w14:textId="14C19FAD" w:rsidR="009B7DBB" w:rsidRPr="00B01A30" w:rsidRDefault="00E91623" w:rsidP="00B01A30">
            <w:r w:rsidRPr="00B01A30">
              <w:t>Core Member</w:t>
            </w:r>
          </w:p>
        </w:tc>
        <w:tc>
          <w:tcPr>
            <w:tcW w:w="2265" w:type="dxa"/>
          </w:tcPr>
          <w:p w14:paraId="400823AA" w14:textId="4B0792FC" w:rsidR="009B7DBB" w:rsidRPr="00B01A30" w:rsidRDefault="009B7DBB" w:rsidP="00B01A30">
            <w:r w:rsidRPr="00B01A30">
              <w:t>Dr Christine Spray</w:t>
            </w:r>
          </w:p>
        </w:tc>
        <w:tc>
          <w:tcPr>
            <w:tcW w:w="2184" w:type="dxa"/>
          </w:tcPr>
          <w:p w14:paraId="134D0C53" w14:textId="26665F71" w:rsidR="009B7DBB" w:rsidRPr="00B01A30" w:rsidRDefault="00E91623" w:rsidP="00B01A30">
            <w:r w:rsidRPr="00B01A30">
              <w:t xml:space="preserve">Consultant </w:t>
            </w:r>
            <w:r w:rsidR="00AF5650" w:rsidRPr="00B01A30">
              <w:t>in Paediatric Gastroenterology, Hepatology and Nutrition</w:t>
            </w:r>
          </w:p>
        </w:tc>
        <w:tc>
          <w:tcPr>
            <w:tcW w:w="3064" w:type="dxa"/>
          </w:tcPr>
          <w:p w14:paraId="0DDE7E48" w14:textId="4752BACA" w:rsidR="009B7DBB" w:rsidRPr="00B01A30" w:rsidRDefault="00AF5650" w:rsidP="00B01A30">
            <w:r w:rsidRPr="00B01A30">
              <w:t>United Hospitals Bristol Healthcare Trust</w:t>
            </w:r>
          </w:p>
        </w:tc>
        <w:tc>
          <w:tcPr>
            <w:tcW w:w="1257" w:type="dxa"/>
            <w:tcBorders>
              <w:right w:val="single" w:sz="12" w:space="0" w:color="auto"/>
            </w:tcBorders>
          </w:tcPr>
          <w:p w14:paraId="2B9F577D" w14:textId="77777777" w:rsidR="009B7DBB" w:rsidRPr="00B01A30" w:rsidRDefault="009B7DBB" w:rsidP="00B01A30"/>
        </w:tc>
      </w:tr>
      <w:tr w:rsidR="009B7DBB" w14:paraId="7394B110" w14:textId="77777777" w:rsidTr="00EA1D96">
        <w:tc>
          <w:tcPr>
            <w:tcW w:w="1686" w:type="dxa"/>
            <w:tcBorders>
              <w:left w:val="single" w:sz="12" w:space="0" w:color="auto"/>
            </w:tcBorders>
            <w:shd w:val="clear" w:color="auto" w:fill="DAE9F7" w:themeFill="text2" w:themeFillTint="1A"/>
          </w:tcPr>
          <w:p w14:paraId="2537D005" w14:textId="2B219C14" w:rsidR="009B7DBB" w:rsidRPr="00B01A30" w:rsidRDefault="00AF5650" w:rsidP="00B01A30">
            <w:r w:rsidRPr="00B01A30">
              <w:t>Core Member</w:t>
            </w:r>
          </w:p>
        </w:tc>
        <w:tc>
          <w:tcPr>
            <w:tcW w:w="2265" w:type="dxa"/>
            <w:shd w:val="clear" w:color="auto" w:fill="DAE9F7" w:themeFill="text2" w:themeFillTint="1A"/>
          </w:tcPr>
          <w:p w14:paraId="673F95E3" w14:textId="2C827E66" w:rsidR="009B7DBB" w:rsidRPr="00B01A30" w:rsidRDefault="009B7DBB" w:rsidP="00B01A30">
            <w:r w:rsidRPr="00B01A30">
              <w:t>Mrs Harley Stephens</w:t>
            </w:r>
          </w:p>
        </w:tc>
        <w:tc>
          <w:tcPr>
            <w:tcW w:w="2184" w:type="dxa"/>
            <w:shd w:val="clear" w:color="auto" w:fill="DAE9F7" w:themeFill="text2" w:themeFillTint="1A"/>
          </w:tcPr>
          <w:p w14:paraId="0D660886" w14:textId="269F3798" w:rsidR="009B7DBB" w:rsidRPr="00B01A30" w:rsidRDefault="00E44D72" w:rsidP="00B01A30">
            <w:r w:rsidRPr="00B01A30">
              <w:t>Consultant Therapeutic Radiographer</w:t>
            </w:r>
          </w:p>
        </w:tc>
        <w:tc>
          <w:tcPr>
            <w:tcW w:w="3064" w:type="dxa"/>
            <w:shd w:val="clear" w:color="auto" w:fill="DAE9F7" w:themeFill="text2" w:themeFillTint="1A"/>
          </w:tcPr>
          <w:p w14:paraId="1E61B51A" w14:textId="186C255E" w:rsidR="009B7DBB" w:rsidRPr="00B01A30" w:rsidRDefault="00E44D72" w:rsidP="00B01A30">
            <w:r w:rsidRPr="00B01A30">
              <w:t>University Hospitals Bristol and Weston NHS Foundation Trust</w:t>
            </w:r>
          </w:p>
        </w:tc>
        <w:tc>
          <w:tcPr>
            <w:tcW w:w="1257" w:type="dxa"/>
            <w:tcBorders>
              <w:right w:val="single" w:sz="12" w:space="0" w:color="auto"/>
            </w:tcBorders>
            <w:shd w:val="clear" w:color="auto" w:fill="DAE9F7" w:themeFill="text2" w:themeFillTint="1A"/>
          </w:tcPr>
          <w:p w14:paraId="256D77AB" w14:textId="0D6E37FC" w:rsidR="009B7DBB" w:rsidRPr="00B01A30" w:rsidRDefault="00E44D72" w:rsidP="00B01A30">
            <w:r w:rsidRPr="00B01A30">
              <w:t>Yes</w:t>
            </w:r>
          </w:p>
        </w:tc>
      </w:tr>
      <w:tr w:rsidR="003A7755" w14:paraId="7BB891FD" w14:textId="77777777" w:rsidTr="00EA1D96">
        <w:tc>
          <w:tcPr>
            <w:tcW w:w="1686" w:type="dxa"/>
            <w:tcBorders>
              <w:left w:val="single" w:sz="12" w:space="0" w:color="auto"/>
            </w:tcBorders>
          </w:tcPr>
          <w:p w14:paraId="70364625" w14:textId="3C8703A3" w:rsidR="003A7755" w:rsidRPr="00B01A30" w:rsidRDefault="003A7755" w:rsidP="00B01A30">
            <w:r w:rsidRPr="00B01A30">
              <w:t>Core Member</w:t>
            </w:r>
          </w:p>
        </w:tc>
        <w:tc>
          <w:tcPr>
            <w:tcW w:w="2265" w:type="dxa"/>
          </w:tcPr>
          <w:p w14:paraId="59F32E04" w14:textId="27FEACC2" w:rsidR="003A7755" w:rsidRPr="00B01A30" w:rsidRDefault="003A7755" w:rsidP="00B01A30">
            <w:r w:rsidRPr="00B01A30">
              <w:t>Mark Stone</w:t>
            </w:r>
          </w:p>
        </w:tc>
        <w:tc>
          <w:tcPr>
            <w:tcW w:w="2184" w:type="dxa"/>
          </w:tcPr>
          <w:p w14:paraId="61393AF9" w14:textId="11CDEE92" w:rsidR="003A7755" w:rsidRPr="00B01A30" w:rsidRDefault="003A7755" w:rsidP="00B01A30">
            <w:r w:rsidRPr="00B01A30">
              <w:rPr>
                <w:rFonts w:eastAsia="Times New Roman" w:cs="Calibri"/>
                <w:lang w:eastAsia="en-GB"/>
              </w:rPr>
              <w:t xml:space="preserve">Pharmacist Consultant/Devon LPC Project Lead, Vice Chair of the East Cornwall Primary Care Network </w:t>
            </w:r>
          </w:p>
        </w:tc>
        <w:tc>
          <w:tcPr>
            <w:tcW w:w="3064" w:type="dxa"/>
          </w:tcPr>
          <w:p w14:paraId="6B985565" w14:textId="24461E00" w:rsidR="003A7755" w:rsidRPr="00B01A30" w:rsidRDefault="003A7755" w:rsidP="00B01A30">
            <w:r w:rsidRPr="00B01A30">
              <w:rPr>
                <w:rFonts w:eastAsia="Times New Roman" w:cs="Calibri"/>
                <w:lang w:eastAsia="en-GB"/>
              </w:rPr>
              <w:t>Devon Local Pharmaceutical Committee and Tamar Valley Health Practices</w:t>
            </w:r>
          </w:p>
        </w:tc>
        <w:tc>
          <w:tcPr>
            <w:tcW w:w="1257" w:type="dxa"/>
            <w:tcBorders>
              <w:right w:val="single" w:sz="12" w:space="0" w:color="auto"/>
            </w:tcBorders>
          </w:tcPr>
          <w:p w14:paraId="4E10F5F5" w14:textId="77777777" w:rsidR="003A7755" w:rsidRPr="00B01A30" w:rsidRDefault="003A7755" w:rsidP="00B01A30"/>
        </w:tc>
      </w:tr>
      <w:tr w:rsidR="003A7755" w14:paraId="2EEA2440" w14:textId="77777777" w:rsidTr="00EA1D96">
        <w:tc>
          <w:tcPr>
            <w:tcW w:w="1686" w:type="dxa"/>
            <w:tcBorders>
              <w:left w:val="single" w:sz="12" w:space="0" w:color="auto"/>
            </w:tcBorders>
          </w:tcPr>
          <w:p w14:paraId="79682337" w14:textId="642FEDA1" w:rsidR="003A7755" w:rsidRPr="00B01A30" w:rsidRDefault="003D647B" w:rsidP="00B01A30">
            <w:r w:rsidRPr="00B01A30">
              <w:t>Core Member</w:t>
            </w:r>
          </w:p>
        </w:tc>
        <w:tc>
          <w:tcPr>
            <w:tcW w:w="2265" w:type="dxa"/>
          </w:tcPr>
          <w:p w14:paraId="6A3889AD" w14:textId="6F967089" w:rsidR="003A7755" w:rsidRPr="00B01A30" w:rsidRDefault="003A7755" w:rsidP="00B01A30">
            <w:r w:rsidRPr="00B01A30">
              <w:t>Carol Stonham MBE</w:t>
            </w:r>
          </w:p>
        </w:tc>
        <w:tc>
          <w:tcPr>
            <w:tcW w:w="2184" w:type="dxa"/>
          </w:tcPr>
          <w:p w14:paraId="160696DB" w14:textId="2C0138FE" w:rsidR="003A7755" w:rsidRPr="00B01A30" w:rsidRDefault="003D647B" w:rsidP="00B01A30">
            <w:r w:rsidRPr="00B01A30">
              <w:t>Respiratory Nurse Specialist, Primary Care</w:t>
            </w:r>
          </w:p>
        </w:tc>
        <w:tc>
          <w:tcPr>
            <w:tcW w:w="3064" w:type="dxa"/>
          </w:tcPr>
          <w:p w14:paraId="15D5FD58" w14:textId="6C4E714C" w:rsidR="003A7755" w:rsidRPr="00B01A30" w:rsidRDefault="003D647B" w:rsidP="00B01A30">
            <w:r w:rsidRPr="00B01A30">
              <w:t>NHS Gloucestershire ICB</w:t>
            </w:r>
          </w:p>
        </w:tc>
        <w:tc>
          <w:tcPr>
            <w:tcW w:w="1257" w:type="dxa"/>
            <w:tcBorders>
              <w:right w:val="single" w:sz="12" w:space="0" w:color="auto"/>
            </w:tcBorders>
          </w:tcPr>
          <w:p w14:paraId="4D64CBC5" w14:textId="77777777" w:rsidR="003A7755" w:rsidRPr="00B01A30" w:rsidRDefault="003A7755" w:rsidP="00B01A30"/>
        </w:tc>
      </w:tr>
      <w:tr w:rsidR="003A7755" w14:paraId="49ED3A8A" w14:textId="77777777" w:rsidTr="00EA1D96">
        <w:tc>
          <w:tcPr>
            <w:tcW w:w="1686" w:type="dxa"/>
            <w:tcBorders>
              <w:left w:val="single" w:sz="12" w:space="0" w:color="auto"/>
            </w:tcBorders>
          </w:tcPr>
          <w:p w14:paraId="49653111" w14:textId="3C86DAED" w:rsidR="003A7755" w:rsidRPr="00B01A30" w:rsidRDefault="00997BFC" w:rsidP="00B01A30">
            <w:r w:rsidRPr="00B01A30">
              <w:t>Core Member</w:t>
            </w:r>
          </w:p>
        </w:tc>
        <w:tc>
          <w:tcPr>
            <w:tcW w:w="2265" w:type="dxa"/>
          </w:tcPr>
          <w:p w14:paraId="5C46DDFD" w14:textId="34543CE2" w:rsidR="003A7755" w:rsidRPr="00B01A30" w:rsidRDefault="00997BFC" w:rsidP="00B01A30">
            <w:r w:rsidRPr="00B01A30">
              <w:t xml:space="preserve">Dr </w:t>
            </w:r>
            <w:r w:rsidR="003A7755" w:rsidRPr="00B01A30">
              <w:t>Miles Wagstaff</w:t>
            </w:r>
          </w:p>
        </w:tc>
        <w:tc>
          <w:tcPr>
            <w:tcW w:w="2184" w:type="dxa"/>
          </w:tcPr>
          <w:p w14:paraId="25BF0C74" w14:textId="3BF84CC0" w:rsidR="003A7755" w:rsidRPr="00B01A30" w:rsidRDefault="00997BFC" w:rsidP="00B01A30">
            <w:r w:rsidRPr="00B01A30">
              <w:t>Consultant Paediatrician and Neonatologist</w:t>
            </w:r>
          </w:p>
        </w:tc>
        <w:tc>
          <w:tcPr>
            <w:tcW w:w="3064" w:type="dxa"/>
          </w:tcPr>
          <w:p w14:paraId="2D4D73F1" w14:textId="4B7861E3" w:rsidR="003A7755" w:rsidRPr="00B01A30" w:rsidRDefault="00997BFC" w:rsidP="00B01A30">
            <w:r w:rsidRPr="00B01A30">
              <w:t>Gloucestershire Hospitals NHS Foundation Trust</w:t>
            </w:r>
          </w:p>
        </w:tc>
        <w:tc>
          <w:tcPr>
            <w:tcW w:w="1257" w:type="dxa"/>
            <w:tcBorders>
              <w:right w:val="single" w:sz="12" w:space="0" w:color="auto"/>
            </w:tcBorders>
          </w:tcPr>
          <w:p w14:paraId="0F65A811" w14:textId="77777777" w:rsidR="003A7755" w:rsidRPr="00B01A30" w:rsidRDefault="003A7755" w:rsidP="00B01A30"/>
        </w:tc>
      </w:tr>
      <w:tr w:rsidR="003A7755" w14:paraId="26B1B206" w14:textId="77777777" w:rsidTr="00EA1D96">
        <w:tc>
          <w:tcPr>
            <w:tcW w:w="1686" w:type="dxa"/>
            <w:tcBorders>
              <w:left w:val="single" w:sz="12" w:space="0" w:color="auto"/>
            </w:tcBorders>
            <w:shd w:val="clear" w:color="auto" w:fill="DAE9F7" w:themeFill="text2" w:themeFillTint="1A"/>
          </w:tcPr>
          <w:p w14:paraId="09108407" w14:textId="4EA356FA" w:rsidR="003A7755" w:rsidRPr="00B01A30" w:rsidRDefault="002C0B8C" w:rsidP="00B01A30">
            <w:r w:rsidRPr="00B01A30">
              <w:t>Core Member</w:t>
            </w:r>
          </w:p>
        </w:tc>
        <w:tc>
          <w:tcPr>
            <w:tcW w:w="2265" w:type="dxa"/>
            <w:shd w:val="clear" w:color="auto" w:fill="DAE9F7" w:themeFill="text2" w:themeFillTint="1A"/>
          </w:tcPr>
          <w:p w14:paraId="2B4031FC" w14:textId="5CDC4359" w:rsidR="003A7755" w:rsidRPr="00B01A30" w:rsidRDefault="003A7755" w:rsidP="00B01A30">
            <w:r w:rsidRPr="00B01A30">
              <w:t>Richard Walters</w:t>
            </w:r>
          </w:p>
        </w:tc>
        <w:tc>
          <w:tcPr>
            <w:tcW w:w="2184" w:type="dxa"/>
            <w:shd w:val="clear" w:color="auto" w:fill="DAE9F7" w:themeFill="text2" w:themeFillTint="1A"/>
          </w:tcPr>
          <w:p w14:paraId="58CA5C86" w14:textId="75D79B3B" w:rsidR="003A7755" w:rsidRPr="00B01A30" w:rsidRDefault="002C0B8C" w:rsidP="00B01A30">
            <w:r w:rsidRPr="00B01A30">
              <w:t>Physiotherapist</w:t>
            </w:r>
          </w:p>
        </w:tc>
        <w:tc>
          <w:tcPr>
            <w:tcW w:w="3064" w:type="dxa"/>
            <w:shd w:val="clear" w:color="auto" w:fill="DAE9F7" w:themeFill="text2" w:themeFillTint="1A"/>
          </w:tcPr>
          <w:p w14:paraId="664C618F" w14:textId="154267CD" w:rsidR="003A7755" w:rsidRPr="00B01A30" w:rsidRDefault="002C0B8C" w:rsidP="00B01A30">
            <w:r w:rsidRPr="00B01A30">
              <w:t>University Hospitals Plymouth NHS Trust</w:t>
            </w:r>
          </w:p>
        </w:tc>
        <w:tc>
          <w:tcPr>
            <w:tcW w:w="1257" w:type="dxa"/>
            <w:tcBorders>
              <w:right w:val="single" w:sz="12" w:space="0" w:color="auto"/>
            </w:tcBorders>
            <w:shd w:val="clear" w:color="auto" w:fill="DAE9F7" w:themeFill="text2" w:themeFillTint="1A"/>
          </w:tcPr>
          <w:p w14:paraId="1B47A5D6" w14:textId="4C815375" w:rsidR="003A7755" w:rsidRPr="00B01A30" w:rsidRDefault="002C0B8C" w:rsidP="00B01A30">
            <w:r w:rsidRPr="00B01A30">
              <w:t>Yes</w:t>
            </w:r>
          </w:p>
        </w:tc>
      </w:tr>
      <w:tr w:rsidR="003A7755" w14:paraId="52B08916" w14:textId="77777777" w:rsidTr="00EA1D96">
        <w:tc>
          <w:tcPr>
            <w:tcW w:w="1686" w:type="dxa"/>
            <w:tcBorders>
              <w:left w:val="single" w:sz="12" w:space="0" w:color="auto"/>
            </w:tcBorders>
            <w:shd w:val="clear" w:color="auto" w:fill="DAE9F7" w:themeFill="text2" w:themeFillTint="1A"/>
          </w:tcPr>
          <w:p w14:paraId="711EE1C5" w14:textId="09ACE74D" w:rsidR="003A7755" w:rsidRPr="00B01A30" w:rsidRDefault="00F9182E" w:rsidP="00B01A30">
            <w:r w:rsidRPr="00B01A30">
              <w:t>Core Member</w:t>
            </w:r>
          </w:p>
        </w:tc>
        <w:tc>
          <w:tcPr>
            <w:tcW w:w="2265" w:type="dxa"/>
            <w:shd w:val="clear" w:color="auto" w:fill="DAE9F7" w:themeFill="text2" w:themeFillTint="1A"/>
          </w:tcPr>
          <w:p w14:paraId="60A5F7F0" w14:textId="48B20962" w:rsidR="003A7755" w:rsidRPr="00B01A30" w:rsidRDefault="003A7755" w:rsidP="00B01A30">
            <w:r w:rsidRPr="00B01A30">
              <w:t>Dr Paul Winterbottom</w:t>
            </w:r>
          </w:p>
        </w:tc>
        <w:tc>
          <w:tcPr>
            <w:tcW w:w="2184" w:type="dxa"/>
            <w:shd w:val="clear" w:color="auto" w:fill="DAE9F7" w:themeFill="text2" w:themeFillTint="1A"/>
          </w:tcPr>
          <w:p w14:paraId="5A25A713" w14:textId="6B8879D2" w:rsidR="003A7755" w:rsidRPr="00B01A30" w:rsidRDefault="00D25AEB" w:rsidP="00B01A30">
            <w:r w:rsidRPr="00B01A30">
              <w:t>Consultant Psychiatrist</w:t>
            </w:r>
          </w:p>
        </w:tc>
        <w:tc>
          <w:tcPr>
            <w:tcW w:w="3064" w:type="dxa"/>
            <w:shd w:val="clear" w:color="auto" w:fill="DAE9F7" w:themeFill="text2" w:themeFillTint="1A"/>
          </w:tcPr>
          <w:p w14:paraId="71876B87" w14:textId="1CA0ABE7" w:rsidR="003A7755" w:rsidRPr="00B01A30" w:rsidRDefault="00D25AEB" w:rsidP="00B01A30">
            <w:r w:rsidRPr="00B01A30">
              <w:t>Gloucestershire Health and Care NHS Foundation Trust</w:t>
            </w:r>
          </w:p>
        </w:tc>
        <w:tc>
          <w:tcPr>
            <w:tcW w:w="1257" w:type="dxa"/>
            <w:tcBorders>
              <w:right w:val="single" w:sz="12" w:space="0" w:color="auto"/>
            </w:tcBorders>
            <w:shd w:val="clear" w:color="auto" w:fill="DAE9F7" w:themeFill="text2" w:themeFillTint="1A"/>
          </w:tcPr>
          <w:p w14:paraId="7334FBE6" w14:textId="56878C43" w:rsidR="003A7755" w:rsidRPr="00B01A30" w:rsidRDefault="00D25AEB" w:rsidP="00B01A30">
            <w:r w:rsidRPr="00B01A30">
              <w:t>Yes</w:t>
            </w:r>
          </w:p>
        </w:tc>
      </w:tr>
      <w:tr w:rsidR="003A7755" w14:paraId="7F958AEF" w14:textId="77777777" w:rsidTr="00EA1D96">
        <w:tc>
          <w:tcPr>
            <w:tcW w:w="1686" w:type="dxa"/>
            <w:tcBorders>
              <w:left w:val="single" w:sz="12" w:space="0" w:color="auto"/>
            </w:tcBorders>
          </w:tcPr>
          <w:p w14:paraId="2C435D27" w14:textId="274FCF1F" w:rsidR="003A7755" w:rsidRPr="00B01A30" w:rsidRDefault="009C7AE6" w:rsidP="00B01A30">
            <w:r w:rsidRPr="00B01A30">
              <w:t>Core Member</w:t>
            </w:r>
          </w:p>
        </w:tc>
        <w:tc>
          <w:tcPr>
            <w:tcW w:w="2265" w:type="dxa"/>
          </w:tcPr>
          <w:p w14:paraId="47AA2706" w14:textId="631B601E" w:rsidR="003A7755" w:rsidRPr="00B01A30" w:rsidRDefault="003A7755" w:rsidP="00B01A30">
            <w:r w:rsidRPr="00B01A30">
              <w:t>Dr Peter Wright</w:t>
            </w:r>
          </w:p>
        </w:tc>
        <w:tc>
          <w:tcPr>
            <w:tcW w:w="2184" w:type="dxa"/>
          </w:tcPr>
          <w:p w14:paraId="65A7F6EE" w14:textId="4E353075" w:rsidR="003A7755" w:rsidRPr="00B01A30" w:rsidRDefault="009C7AE6" w:rsidP="00B01A30">
            <w:r w:rsidRPr="00B01A30">
              <w:t>Director of H</w:t>
            </w:r>
            <w:r w:rsidR="005D1FBF" w:rsidRPr="00B01A30">
              <w:t>e</w:t>
            </w:r>
            <w:r w:rsidRPr="00B01A30">
              <w:t>a</w:t>
            </w:r>
            <w:r w:rsidR="005D1FBF" w:rsidRPr="00B01A30">
              <w:t>l</w:t>
            </w:r>
            <w:r w:rsidRPr="00B01A30">
              <w:t xml:space="preserve">thcare </w:t>
            </w:r>
            <w:r w:rsidR="005D1FBF" w:rsidRPr="00B01A30">
              <w:t>Science and Technology</w:t>
            </w:r>
          </w:p>
        </w:tc>
        <w:tc>
          <w:tcPr>
            <w:tcW w:w="3064" w:type="dxa"/>
          </w:tcPr>
          <w:p w14:paraId="77B8FBEC" w14:textId="416E5781" w:rsidR="003A7755" w:rsidRPr="00B01A30" w:rsidRDefault="005D1FBF" w:rsidP="00B01A30">
            <w:r w:rsidRPr="00B01A30">
              <w:t>University Hospitals Plymouth NHS Trust</w:t>
            </w:r>
          </w:p>
        </w:tc>
        <w:tc>
          <w:tcPr>
            <w:tcW w:w="1257" w:type="dxa"/>
            <w:tcBorders>
              <w:right w:val="single" w:sz="12" w:space="0" w:color="auto"/>
            </w:tcBorders>
          </w:tcPr>
          <w:p w14:paraId="0EA5896B" w14:textId="77777777" w:rsidR="003A7755" w:rsidRPr="00B01A30" w:rsidRDefault="003A7755" w:rsidP="00B01A30"/>
        </w:tc>
      </w:tr>
      <w:tr w:rsidR="003A7755" w14:paraId="28F66421" w14:textId="77777777" w:rsidTr="00EA1D96">
        <w:tc>
          <w:tcPr>
            <w:tcW w:w="1686" w:type="dxa"/>
            <w:tcBorders>
              <w:left w:val="single" w:sz="12" w:space="0" w:color="auto"/>
            </w:tcBorders>
          </w:tcPr>
          <w:p w14:paraId="12828955" w14:textId="312F44A5" w:rsidR="003A7755" w:rsidRPr="00B01A30" w:rsidRDefault="00D36D2C" w:rsidP="00B01A30">
            <w:r w:rsidRPr="00B01A30">
              <w:t>Core Member</w:t>
            </w:r>
          </w:p>
        </w:tc>
        <w:tc>
          <w:tcPr>
            <w:tcW w:w="2265" w:type="dxa"/>
          </w:tcPr>
          <w:p w14:paraId="02FA24D5" w14:textId="1A7841D7" w:rsidR="003A7755" w:rsidRPr="00B01A30" w:rsidRDefault="003A7755" w:rsidP="00B01A30">
            <w:r w:rsidRPr="00B01A30">
              <w:t>Dr Katie Yeadon</w:t>
            </w:r>
          </w:p>
        </w:tc>
        <w:tc>
          <w:tcPr>
            <w:tcW w:w="2184" w:type="dxa"/>
          </w:tcPr>
          <w:p w14:paraId="5163BC72" w14:textId="06E20FDD" w:rsidR="003A7755" w:rsidRPr="00B01A30" w:rsidRDefault="00D36D2C" w:rsidP="00B01A30">
            <w:r w:rsidRPr="00B01A30">
              <w:t>Consultant General Surgeon</w:t>
            </w:r>
          </w:p>
        </w:tc>
        <w:tc>
          <w:tcPr>
            <w:tcW w:w="3064" w:type="dxa"/>
          </w:tcPr>
          <w:p w14:paraId="7A413CAD" w14:textId="1055C127" w:rsidR="003A7755" w:rsidRPr="00B01A30" w:rsidRDefault="00D36D2C" w:rsidP="00B01A30">
            <w:r w:rsidRPr="00B01A30">
              <w:t>North Devon Healthcare Trust</w:t>
            </w:r>
          </w:p>
        </w:tc>
        <w:tc>
          <w:tcPr>
            <w:tcW w:w="1257" w:type="dxa"/>
            <w:tcBorders>
              <w:right w:val="single" w:sz="12" w:space="0" w:color="auto"/>
            </w:tcBorders>
          </w:tcPr>
          <w:p w14:paraId="33C1B2D5" w14:textId="77777777" w:rsidR="003A7755" w:rsidRPr="00B01A30" w:rsidRDefault="003A7755" w:rsidP="00B01A30"/>
        </w:tc>
      </w:tr>
      <w:tr w:rsidR="003A7755" w14:paraId="6ED1ACBB" w14:textId="77777777" w:rsidTr="00EA1D96">
        <w:tc>
          <w:tcPr>
            <w:tcW w:w="1686" w:type="dxa"/>
            <w:tcBorders>
              <w:left w:val="single" w:sz="12" w:space="0" w:color="auto"/>
              <w:bottom w:val="single" w:sz="12" w:space="0" w:color="auto"/>
            </w:tcBorders>
            <w:shd w:val="clear" w:color="auto" w:fill="DAE9F7" w:themeFill="text2" w:themeFillTint="1A"/>
          </w:tcPr>
          <w:p w14:paraId="59422D08" w14:textId="6C04A678" w:rsidR="003A7755" w:rsidRPr="00B01A30" w:rsidRDefault="00D36D2C" w:rsidP="00B01A30">
            <w:r w:rsidRPr="00B01A30">
              <w:lastRenderedPageBreak/>
              <w:t>Core Member</w:t>
            </w:r>
          </w:p>
        </w:tc>
        <w:tc>
          <w:tcPr>
            <w:tcW w:w="2265" w:type="dxa"/>
            <w:tcBorders>
              <w:bottom w:val="single" w:sz="12" w:space="0" w:color="auto"/>
            </w:tcBorders>
            <w:shd w:val="clear" w:color="auto" w:fill="DAE9F7" w:themeFill="text2" w:themeFillTint="1A"/>
          </w:tcPr>
          <w:p w14:paraId="381F5DB2" w14:textId="5D387089" w:rsidR="003A7755" w:rsidRPr="00B01A30" w:rsidRDefault="003A7755" w:rsidP="00B01A30">
            <w:r w:rsidRPr="00B01A30">
              <w:t>Julie Zatman-Symonds</w:t>
            </w:r>
          </w:p>
        </w:tc>
        <w:tc>
          <w:tcPr>
            <w:tcW w:w="2184" w:type="dxa"/>
            <w:tcBorders>
              <w:bottom w:val="single" w:sz="12" w:space="0" w:color="auto"/>
            </w:tcBorders>
            <w:shd w:val="clear" w:color="auto" w:fill="DAE9F7" w:themeFill="text2" w:themeFillTint="1A"/>
          </w:tcPr>
          <w:p w14:paraId="265A4DDB" w14:textId="2F1466FD" w:rsidR="003A7755" w:rsidRPr="00B01A30" w:rsidRDefault="00375FFD" w:rsidP="00B01A30">
            <w:r w:rsidRPr="00B01A30">
              <w:t>Deputy Chief Nurse</w:t>
            </w:r>
          </w:p>
        </w:tc>
        <w:tc>
          <w:tcPr>
            <w:tcW w:w="3064" w:type="dxa"/>
            <w:tcBorders>
              <w:bottom w:val="single" w:sz="12" w:space="0" w:color="auto"/>
            </w:tcBorders>
            <w:shd w:val="clear" w:color="auto" w:fill="DAE9F7" w:themeFill="text2" w:themeFillTint="1A"/>
          </w:tcPr>
          <w:p w14:paraId="71699C61" w14:textId="07544A1B" w:rsidR="003A7755" w:rsidRPr="00B01A30" w:rsidRDefault="00375FFD" w:rsidP="00B01A30">
            <w:r w:rsidRPr="00B01A30">
              <w:t>NHS Gloucestershire ICB</w:t>
            </w:r>
          </w:p>
        </w:tc>
        <w:tc>
          <w:tcPr>
            <w:tcW w:w="1257" w:type="dxa"/>
            <w:tcBorders>
              <w:bottom w:val="single" w:sz="12" w:space="0" w:color="auto"/>
              <w:right w:val="single" w:sz="12" w:space="0" w:color="auto"/>
            </w:tcBorders>
            <w:shd w:val="clear" w:color="auto" w:fill="DAE9F7" w:themeFill="text2" w:themeFillTint="1A"/>
          </w:tcPr>
          <w:p w14:paraId="7BA11C90" w14:textId="0E7EE4A4" w:rsidR="003A7755" w:rsidRPr="00B01A30" w:rsidRDefault="00375FFD" w:rsidP="00B01A30">
            <w:r w:rsidRPr="00B01A30">
              <w:t>Yes</w:t>
            </w:r>
          </w:p>
        </w:tc>
      </w:tr>
      <w:tr w:rsidR="00375FFD" w14:paraId="1F36E8D2" w14:textId="77777777" w:rsidTr="00D4527E">
        <w:tc>
          <w:tcPr>
            <w:tcW w:w="10456" w:type="dxa"/>
            <w:gridSpan w:val="5"/>
            <w:tcBorders>
              <w:top w:val="single" w:sz="12" w:space="0" w:color="auto"/>
              <w:left w:val="single" w:sz="12" w:space="0" w:color="auto"/>
              <w:bottom w:val="single" w:sz="12" w:space="0" w:color="auto"/>
              <w:right w:val="single" w:sz="12" w:space="0" w:color="auto"/>
            </w:tcBorders>
          </w:tcPr>
          <w:p w14:paraId="1783328C" w14:textId="598CE7C5" w:rsidR="00375FFD" w:rsidRPr="00B01A30" w:rsidRDefault="00375FFD" w:rsidP="00B01A30">
            <w:pPr>
              <w:rPr>
                <w:b/>
                <w:bCs/>
              </w:rPr>
            </w:pPr>
            <w:r w:rsidRPr="00B01A30">
              <w:rPr>
                <w:b/>
                <w:bCs/>
              </w:rPr>
              <w:t>Co-Opted Member</w:t>
            </w:r>
          </w:p>
        </w:tc>
      </w:tr>
      <w:tr w:rsidR="00375FFD" w14:paraId="23870BF0" w14:textId="77777777" w:rsidTr="00EA1D96">
        <w:tc>
          <w:tcPr>
            <w:tcW w:w="1686" w:type="dxa"/>
            <w:tcBorders>
              <w:top w:val="single" w:sz="12" w:space="0" w:color="auto"/>
              <w:left w:val="single" w:sz="12" w:space="0" w:color="auto"/>
            </w:tcBorders>
          </w:tcPr>
          <w:p w14:paraId="7A7A0A7E" w14:textId="342F73F8" w:rsidR="00375FFD" w:rsidRPr="00B01A30" w:rsidRDefault="00375FFD" w:rsidP="00B01A30">
            <w:r w:rsidRPr="00B01A30">
              <w:t>Co-Opted Member</w:t>
            </w:r>
          </w:p>
        </w:tc>
        <w:tc>
          <w:tcPr>
            <w:tcW w:w="2265" w:type="dxa"/>
            <w:tcBorders>
              <w:top w:val="single" w:sz="12" w:space="0" w:color="auto"/>
            </w:tcBorders>
          </w:tcPr>
          <w:p w14:paraId="36F17B6F" w14:textId="1B80B116" w:rsidR="00375FFD" w:rsidRPr="00B01A30" w:rsidRDefault="00375FFD" w:rsidP="00B01A30">
            <w:r w:rsidRPr="00B01A30">
              <w:t>Dr Geeta Iyer</w:t>
            </w:r>
          </w:p>
        </w:tc>
        <w:tc>
          <w:tcPr>
            <w:tcW w:w="2184" w:type="dxa"/>
            <w:tcBorders>
              <w:top w:val="single" w:sz="12" w:space="0" w:color="auto"/>
            </w:tcBorders>
          </w:tcPr>
          <w:p w14:paraId="69192E4F" w14:textId="3316511D" w:rsidR="00375FFD" w:rsidRPr="00B01A30" w:rsidRDefault="00375FFD" w:rsidP="00B01A30">
            <w:r w:rsidRPr="00B01A30">
              <w:t>Chief Medical Officer</w:t>
            </w:r>
          </w:p>
        </w:tc>
        <w:tc>
          <w:tcPr>
            <w:tcW w:w="3064" w:type="dxa"/>
            <w:tcBorders>
              <w:top w:val="single" w:sz="12" w:space="0" w:color="auto"/>
            </w:tcBorders>
          </w:tcPr>
          <w:p w14:paraId="06127680" w14:textId="7A32A13F" w:rsidR="00375FFD" w:rsidRPr="00B01A30" w:rsidRDefault="00375FFD" w:rsidP="00B01A30">
            <w:r w:rsidRPr="00B01A30">
              <w:t>NHS Bristol, North Somerset, and South Gloucestershire ICB</w:t>
            </w:r>
          </w:p>
        </w:tc>
        <w:tc>
          <w:tcPr>
            <w:tcW w:w="1257" w:type="dxa"/>
            <w:tcBorders>
              <w:top w:val="single" w:sz="12" w:space="0" w:color="auto"/>
              <w:right w:val="single" w:sz="12" w:space="0" w:color="auto"/>
            </w:tcBorders>
          </w:tcPr>
          <w:p w14:paraId="0D58D243" w14:textId="77777777" w:rsidR="00375FFD" w:rsidRPr="00B01A30" w:rsidRDefault="00375FFD" w:rsidP="00B01A30"/>
        </w:tc>
      </w:tr>
      <w:tr w:rsidR="00375FFD" w14:paraId="562F0030" w14:textId="77777777" w:rsidTr="00EA1D96">
        <w:tc>
          <w:tcPr>
            <w:tcW w:w="1686" w:type="dxa"/>
            <w:tcBorders>
              <w:left w:val="single" w:sz="12" w:space="0" w:color="auto"/>
            </w:tcBorders>
          </w:tcPr>
          <w:p w14:paraId="676CA3E4" w14:textId="20E66A08" w:rsidR="00375FFD" w:rsidRPr="00B01A30" w:rsidRDefault="00375FFD" w:rsidP="00B01A30">
            <w:r w:rsidRPr="00B01A30">
              <w:t>Co-Opted Member</w:t>
            </w:r>
          </w:p>
        </w:tc>
        <w:tc>
          <w:tcPr>
            <w:tcW w:w="2265" w:type="dxa"/>
          </w:tcPr>
          <w:p w14:paraId="4DD84B1A" w14:textId="427E6768" w:rsidR="00375FFD" w:rsidRPr="00B01A30" w:rsidRDefault="00375FFD" w:rsidP="00B01A30">
            <w:r w:rsidRPr="00B01A30">
              <w:t>Dr Paul Johnson</w:t>
            </w:r>
          </w:p>
        </w:tc>
        <w:tc>
          <w:tcPr>
            <w:tcW w:w="2184" w:type="dxa"/>
          </w:tcPr>
          <w:p w14:paraId="7DC60626" w14:textId="0651EAF5" w:rsidR="00375FFD" w:rsidRPr="00B01A30" w:rsidRDefault="00375FFD" w:rsidP="00B01A30">
            <w:r w:rsidRPr="00B01A30">
              <w:t>Chief Medical Officer</w:t>
            </w:r>
          </w:p>
        </w:tc>
        <w:tc>
          <w:tcPr>
            <w:tcW w:w="3064" w:type="dxa"/>
          </w:tcPr>
          <w:p w14:paraId="30E6DA9D" w14:textId="0FAF7B3E" w:rsidR="00375FFD" w:rsidRPr="00B01A30" w:rsidRDefault="00375FFD" w:rsidP="00B01A30">
            <w:r w:rsidRPr="00B01A30">
              <w:t>NHS Dorset ICB</w:t>
            </w:r>
          </w:p>
        </w:tc>
        <w:tc>
          <w:tcPr>
            <w:tcW w:w="1257" w:type="dxa"/>
            <w:tcBorders>
              <w:right w:val="single" w:sz="12" w:space="0" w:color="auto"/>
            </w:tcBorders>
          </w:tcPr>
          <w:p w14:paraId="235D87C9" w14:textId="77777777" w:rsidR="00375FFD" w:rsidRPr="00B01A30" w:rsidRDefault="00375FFD" w:rsidP="00B01A30"/>
        </w:tc>
      </w:tr>
      <w:tr w:rsidR="00375FFD" w14:paraId="11E1259B" w14:textId="77777777" w:rsidTr="00EA1D96">
        <w:tc>
          <w:tcPr>
            <w:tcW w:w="1686" w:type="dxa"/>
            <w:tcBorders>
              <w:left w:val="single" w:sz="12" w:space="0" w:color="auto"/>
            </w:tcBorders>
          </w:tcPr>
          <w:p w14:paraId="0BE0612A" w14:textId="52146F00" w:rsidR="00375FFD" w:rsidRPr="00B01A30" w:rsidRDefault="00375FFD" w:rsidP="00B01A30">
            <w:r w:rsidRPr="00B01A30">
              <w:t>Co-Opted Member</w:t>
            </w:r>
          </w:p>
        </w:tc>
        <w:tc>
          <w:tcPr>
            <w:tcW w:w="2265" w:type="dxa"/>
          </w:tcPr>
          <w:p w14:paraId="39FC4939" w14:textId="74F3287E" w:rsidR="00375FFD" w:rsidRPr="00B01A30" w:rsidRDefault="00375FFD" w:rsidP="00B01A30">
            <w:r w:rsidRPr="00B01A30">
              <w:t>Dr Bernie Marden</w:t>
            </w:r>
          </w:p>
        </w:tc>
        <w:tc>
          <w:tcPr>
            <w:tcW w:w="2184" w:type="dxa"/>
          </w:tcPr>
          <w:p w14:paraId="1E91D5B1" w14:textId="2F654D48" w:rsidR="00375FFD" w:rsidRPr="00B01A30" w:rsidRDefault="00375FFD" w:rsidP="00B01A30">
            <w:r w:rsidRPr="00B01A30">
              <w:t>Chief Medical Officer</w:t>
            </w:r>
          </w:p>
        </w:tc>
        <w:tc>
          <w:tcPr>
            <w:tcW w:w="3064" w:type="dxa"/>
          </w:tcPr>
          <w:p w14:paraId="5BBFB3CD" w14:textId="5C527F06" w:rsidR="00375FFD" w:rsidRPr="00B01A30" w:rsidRDefault="00375FFD" w:rsidP="00B01A30">
            <w:r w:rsidRPr="00B01A30">
              <w:t>NHS Somerset ICB</w:t>
            </w:r>
          </w:p>
        </w:tc>
        <w:tc>
          <w:tcPr>
            <w:tcW w:w="1257" w:type="dxa"/>
            <w:tcBorders>
              <w:right w:val="single" w:sz="12" w:space="0" w:color="auto"/>
            </w:tcBorders>
          </w:tcPr>
          <w:p w14:paraId="6461AAC5" w14:textId="77777777" w:rsidR="00375FFD" w:rsidRPr="00B01A30" w:rsidRDefault="00375FFD" w:rsidP="00B01A30"/>
        </w:tc>
      </w:tr>
      <w:tr w:rsidR="00375FFD" w14:paraId="3330A926" w14:textId="77777777" w:rsidTr="00EA1D96">
        <w:tc>
          <w:tcPr>
            <w:tcW w:w="1686" w:type="dxa"/>
            <w:tcBorders>
              <w:left w:val="single" w:sz="12" w:space="0" w:color="auto"/>
            </w:tcBorders>
          </w:tcPr>
          <w:p w14:paraId="7D85D40C" w14:textId="34ADE2AB" w:rsidR="00375FFD" w:rsidRPr="00B01A30" w:rsidRDefault="00375FFD" w:rsidP="00B01A30">
            <w:r w:rsidRPr="00B01A30">
              <w:t>Co-Opted Member</w:t>
            </w:r>
          </w:p>
        </w:tc>
        <w:tc>
          <w:tcPr>
            <w:tcW w:w="2265" w:type="dxa"/>
          </w:tcPr>
          <w:p w14:paraId="1224D6A2" w14:textId="0DDD7EE9" w:rsidR="00375FFD" w:rsidRPr="00B01A30" w:rsidRDefault="00375FFD" w:rsidP="00B01A30">
            <w:r w:rsidRPr="00B01A30">
              <w:t>Dr Anathakrishnan Raghuram</w:t>
            </w:r>
          </w:p>
        </w:tc>
        <w:tc>
          <w:tcPr>
            <w:tcW w:w="2184" w:type="dxa"/>
          </w:tcPr>
          <w:p w14:paraId="2A4ACB83" w14:textId="055A5A62" w:rsidR="00375FFD" w:rsidRPr="00B01A30" w:rsidRDefault="00375FFD" w:rsidP="00B01A30">
            <w:r w:rsidRPr="00B01A30">
              <w:t>Chief Medical Officer</w:t>
            </w:r>
          </w:p>
        </w:tc>
        <w:tc>
          <w:tcPr>
            <w:tcW w:w="3064" w:type="dxa"/>
          </w:tcPr>
          <w:p w14:paraId="126E1F15" w14:textId="764A1BBE" w:rsidR="00375FFD" w:rsidRPr="00B01A30" w:rsidRDefault="00375FFD" w:rsidP="00B01A30">
            <w:r w:rsidRPr="00B01A30">
              <w:t>NHS Gloucestershire ICB</w:t>
            </w:r>
          </w:p>
        </w:tc>
        <w:tc>
          <w:tcPr>
            <w:tcW w:w="1257" w:type="dxa"/>
            <w:tcBorders>
              <w:right w:val="single" w:sz="12" w:space="0" w:color="auto"/>
            </w:tcBorders>
          </w:tcPr>
          <w:p w14:paraId="25AB2ED7" w14:textId="77777777" w:rsidR="00375FFD" w:rsidRPr="00B01A30" w:rsidRDefault="00375FFD" w:rsidP="00B01A30"/>
        </w:tc>
      </w:tr>
      <w:tr w:rsidR="00375FFD" w14:paraId="06715DCF" w14:textId="77777777" w:rsidTr="00EA1D96">
        <w:tc>
          <w:tcPr>
            <w:tcW w:w="1686" w:type="dxa"/>
            <w:tcBorders>
              <w:left w:val="single" w:sz="12" w:space="0" w:color="auto"/>
            </w:tcBorders>
          </w:tcPr>
          <w:p w14:paraId="730D4FCD" w14:textId="667F8D17" w:rsidR="00375FFD" w:rsidRPr="00B01A30" w:rsidRDefault="00375FFD" w:rsidP="00B01A30">
            <w:r w:rsidRPr="00B01A30">
              <w:t>Co-Opted Member</w:t>
            </w:r>
          </w:p>
        </w:tc>
        <w:tc>
          <w:tcPr>
            <w:tcW w:w="2265" w:type="dxa"/>
          </w:tcPr>
          <w:p w14:paraId="60BB5199" w14:textId="46548A24" w:rsidR="00375FFD" w:rsidRPr="00B01A30" w:rsidRDefault="00375FFD" w:rsidP="00B01A30">
            <w:r w:rsidRPr="00B01A30">
              <w:t>Christopher Reid</w:t>
            </w:r>
          </w:p>
        </w:tc>
        <w:tc>
          <w:tcPr>
            <w:tcW w:w="2184" w:type="dxa"/>
          </w:tcPr>
          <w:p w14:paraId="0D364A9A" w14:textId="3444584D" w:rsidR="00375FFD" w:rsidRPr="00B01A30" w:rsidRDefault="00375FFD" w:rsidP="00B01A30">
            <w:r w:rsidRPr="00B01A30">
              <w:t>Chief Medical Officer</w:t>
            </w:r>
          </w:p>
        </w:tc>
        <w:tc>
          <w:tcPr>
            <w:tcW w:w="3064" w:type="dxa"/>
          </w:tcPr>
          <w:p w14:paraId="76D8BE9F" w14:textId="3CFC57EA" w:rsidR="00375FFD" w:rsidRPr="00B01A30" w:rsidRDefault="00375FFD" w:rsidP="00B01A30">
            <w:r w:rsidRPr="00B01A30">
              <w:t>NHS Cornwall and Isles of Scilly ICB</w:t>
            </w:r>
          </w:p>
        </w:tc>
        <w:tc>
          <w:tcPr>
            <w:tcW w:w="1257" w:type="dxa"/>
            <w:tcBorders>
              <w:right w:val="single" w:sz="12" w:space="0" w:color="auto"/>
            </w:tcBorders>
          </w:tcPr>
          <w:p w14:paraId="7415E14E" w14:textId="77777777" w:rsidR="00375FFD" w:rsidRPr="00B01A30" w:rsidRDefault="00375FFD" w:rsidP="00B01A30"/>
        </w:tc>
      </w:tr>
      <w:tr w:rsidR="000E6F43" w14:paraId="29F4ADA9" w14:textId="77777777" w:rsidTr="00EA1D96">
        <w:tc>
          <w:tcPr>
            <w:tcW w:w="1686" w:type="dxa"/>
            <w:tcBorders>
              <w:left w:val="single" w:sz="12" w:space="0" w:color="auto"/>
              <w:bottom w:val="single" w:sz="12" w:space="0" w:color="auto"/>
            </w:tcBorders>
          </w:tcPr>
          <w:p w14:paraId="27F97D45" w14:textId="441CAF74" w:rsidR="000E6F43" w:rsidRPr="00B01A30" w:rsidRDefault="000E6F43" w:rsidP="00B01A30">
            <w:r w:rsidRPr="00B01A30">
              <w:t>Co-Opted Member</w:t>
            </w:r>
          </w:p>
        </w:tc>
        <w:tc>
          <w:tcPr>
            <w:tcW w:w="2265" w:type="dxa"/>
            <w:tcBorders>
              <w:bottom w:val="single" w:sz="12" w:space="0" w:color="auto"/>
            </w:tcBorders>
          </w:tcPr>
          <w:p w14:paraId="294785E7" w14:textId="1B83C5D7" w:rsidR="000E6F43" w:rsidRPr="00B01A30" w:rsidRDefault="000E6F43" w:rsidP="00B01A30">
            <w:r w:rsidRPr="00B01A30">
              <w:t>Amanda Webb</w:t>
            </w:r>
          </w:p>
        </w:tc>
        <w:tc>
          <w:tcPr>
            <w:tcW w:w="2184" w:type="dxa"/>
            <w:tcBorders>
              <w:bottom w:val="single" w:sz="12" w:space="0" w:color="auto"/>
            </w:tcBorders>
          </w:tcPr>
          <w:p w14:paraId="37E8AD7C" w14:textId="294994A3" w:rsidR="000E6F43" w:rsidRPr="00B01A30" w:rsidRDefault="000E6F43" w:rsidP="00B01A30">
            <w:r w:rsidRPr="00B01A30">
              <w:t>Chief Medical Officer</w:t>
            </w:r>
          </w:p>
        </w:tc>
        <w:tc>
          <w:tcPr>
            <w:tcW w:w="3064" w:type="dxa"/>
            <w:tcBorders>
              <w:bottom w:val="single" w:sz="12" w:space="0" w:color="auto"/>
            </w:tcBorders>
          </w:tcPr>
          <w:p w14:paraId="74543B38" w14:textId="76B3D95E" w:rsidR="000E6F43" w:rsidRPr="00B01A30" w:rsidRDefault="000E6F43" w:rsidP="00B01A30">
            <w:r w:rsidRPr="00B01A30">
              <w:t xml:space="preserve">NHS Bath and North East Somerset, </w:t>
            </w:r>
            <w:r w:rsidR="00E73E9D" w:rsidRPr="00B01A30">
              <w:t>Swindon,</w:t>
            </w:r>
            <w:r w:rsidRPr="00B01A30">
              <w:t xml:space="preserve"> and Wiltshire ICB</w:t>
            </w:r>
          </w:p>
        </w:tc>
        <w:tc>
          <w:tcPr>
            <w:tcW w:w="1257" w:type="dxa"/>
            <w:tcBorders>
              <w:bottom w:val="single" w:sz="12" w:space="0" w:color="auto"/>
              <w:right w:val="single" w:sz="12" w:space="0" w:color="auto"/>
            </w:tcBorders>
          </w:tcPr>
          <w:p w14:paraId="5E70D6FE" w14:textId="77777777" w:rsidR="000E6F43" w:rsidRPr="00B01A30" w:rsidRDefault="000E6F43" w:rsidP="00B01A30"/>
        </w:tc>
      </w:tr>
      <w:tr w:rsidR="000E6F43" w14:paraId="3EA64F64" w14:textId="77777777" w:rsidTr="00D4527E">
        <w:tc>
          <w:tcPr>
            <w:tcW w:w="10456" w:type="dxa"/>
            <w:gridSpan w:val="5"/>
            <w:tcBorders>
              <w:top w:val="single" w:sz="12" w:space="0" w:color="auto"/>
              <w:left w:val="single" w:sz="12" w:space="0" w:color="auto"/>
              <w:bottom w:val="single" w:sz="12" w:space="0" w:color="auto"/>
              <w:right w:val="single" w:sz="12" w:space="0" w:color="auto"/>
            </w:tcBorders>
          </w:tcPr>
          <w:p w14:paraId="31EBD064" w14:textId="705588AA" w:rsidR="000E6F43" w:rsidRPr="00B01A30" w:rsidRDefault="000E6F43" w:rsidP="00B01A30">
            <w:pPr>
              <w:rPr>
                <w:b/>
                <w:bCs/>
              </w:rPr>
            </w:pPr>
            <w:r w:rsidRPr="00B01A30">
              <w:rPr>
                <w:b/>
                <w:bCs/>
              </w:rPr>
              <w:t>Non-Voting Members</w:t>
            </w:r>
          </w:p>
        </w:tc>
      </w:tr>
      <w:tr w:rsidR="000E6F43" w14:paraId="38F973A6" w14:textId="77777777" w:rsidTr="00EA1D96">
        <w:tc>
          <w:tcPr>
            <w:tcW w:w="1686" w:type="dxa"/>
            <w:tcBorders>
              <w:top w:val="single" w:sz="12" w:space="0" w:color="auto"/>
              <w:left w:val="single" w:sz="12" w:space="0" w:color="auto"/>
            </w:tcBorders>
          </w:tcPr>
          <w:p w14:paraId="2CC1F0AF" w14:textId="23863C4F" w:rsidR="000E6F43" w:rsidRPr="00B01A30" w:rsidRDefault="000E6F43" w:rsidP="00B01A30">
            <w:r w:rsidRPr="00B01A30">
              <w:t>Non-voting Member</w:t>
            </w:r>
            <w:r w:rsidRPr="00B01A30">
              <w:br/>
              <w:t>(professional in training)</w:t>
            </w:r>
          </w:p>
        </w:tc>
        <w:tc>
          <w:tcPr>
            <w:tcW w:w="2265" w:type="dxa"/>
            <w:tcBorders>
              <w:top w:val="single" w:sz="12" w:space="0" w:color="auto"/>
            </w:tcBorders>
          </w:tcPr>
          <w:p w14:paraId="273B3B2C" w14:textId="6FC479B0" w:rsidR="000E6F43" w:rsidRPr="00B01A30" w:rsidRDefault="000E6F43" w:rsidP="00B01A30">
            <w:r w:rsidRPr="00B01A30">
              <w:t>Dr Matthew Boissaud-Cooke</w:t>
            </w:r>
          </w:p>
        </w:tc>
        <w:tc>
          <w:tcPr>
            <w:tcW w:w="2184" w:type="dxa"/>
            <w:tcBorders>
              <w:top w:val="single" w:sz="12" w:space="0" w:color="auto"/>
            </w:tcBorders>
          </w:tcPr>
          <w:p w14:paraId="2659D968" w14:textId="5F7D50B8" w:rsidR="000E6F43" w:rsidRPr="00B01A30" w:rsidRDefault="000E6F43" w:rsidP="00B01A30">
            <w:r w:rsidRPr="00B01A30">
              <w:t>Neurosurgery Specialist Registrar</w:t>
            </w:r>
          </w:p>
        </w:tc>
        <w:tc>
          <w:tcPr>
            <w:tcW w:w="3064" w:type="dxa"/>
            <w:tcBorders>
              <w:top w:val="single" w:sz="12" w:space="0" w:color="auto"/>
            </w:tcBorders>
          </w:tcPr>
          <w:p w14:paraId="5FF63D20" w14:textId="658E7F61" w:rsidR="000E6F43" w:rsidRPr="00B01A30" w:rsidRDefault="000E6F43" w:rsidP="00B01A30">
            <w:r w:rsidRPr="00B01A30">
              <w:t>University Hospitals Plymouth NHS Trust</w:t>
            </w:r>
          </w:p>
        </w:tc>
        <w:tc>
          <w:tcPr>
            <w:tcW w:w="1257" w:type="dxa"/>
            <w:tcBorders>
              <w:top w:val="single" w:sz="12" w:space="0" w:color="auto"/>
              <w:right w:val="single" w:sz="12" w:space="0" w:color="auto"/>
            </w:tcBorders>
          </w:tcPr>
          <w:p w14:paraId="0493E65F" w14:textId="77777777" w:rsidR="000E6F43" w:rsidRPr="00B01A30" w:rsidRDefault="000E6F43" w:rsidP="00B01A30"/>
        </w:tc>
      </w:tr>
      <w:tr w:rsidR="000E6F43" w14:paraId="007DAA23" w14:textId="77777777" w:rsidTr="00EA1D96">
        <w:tc>
          <w:tcPr>
            <w:tcW w:w="1686" w:type="dxa"/>
            <w:tcBorders>
              <w:left w:val="single" w:sz="12" w:space="0" w:color="auto"/>
              <w:bottom w:val="single" w:sz="12" w:space="0" w:color="auto"/>
            </w:tcBorders>
            <w:shd w:val="clear" w:color="auto" w:fill="DAE9F7" w:themeFill="text2" w:themeFillTint="1A"/>
          </w:tcPr>
          <w:p w14:paraId="29CF50A4" w14:textId="389CCE16" w:rsidR="000E6F43" w:rsidRPr="00B01A30" w:rsidRDefault="000E6F43" w:rsidP="00B01A30">
            <w:r w:rsidRPr="00B01A30">
              <w:t>Non-voting Member</w:t>
            </w:r>
          </w:p>
        </w:tc>
        <w:tc>
          <w:tcPr>
            <w:tcW w:w="2265" w:type="dxa"/>
            <w:tcBorders>
              <w:bottom w:val="single" w:sz="12" w:space="0" w:color="auto"/>
            </w:tcBorders>
            <w:shd w:val="clear" w:color="auto" w:fill="DAE9F7" w:themeFill="text2" w:themeFillTint="1A"/>
          </w:tcPr>
          <w:p w14:paraId="11555EC6" w14:textId="729AFDC7" w:rsidR="000E6F43" w:rsidRPr="00B01A30" w:rsidRDefault="000E6F43" w:rsidP="00B01A30">
            <w:r w:rsidRPr="00B01A30">
              <w:t>Jane Jacobi</w:t>
            </w:r>
          </w:p>
        </w:tc>
        <w:tc>
          <w:tcPr>
            <w:tcW w:w="2184" w:type="dxa"/>
            <w:tcBorders>
              <w:bottom w:val="single" w:sz="12" w:space="0" w:color="auto"/>
            </w:tcBorders>
            <w:shd w:val="clear" w:color="auto" w:fill="DAE9F7" w:themeFill="text2" w:themeFillTint="1A"/>
          </w:tcPr>
          <w:p w14:paraId="13219871" w14:textId="3F06A8B0" w:rsidR="000E6F43" w:rsidRPr="00B01A30" w:rsidRDefault="000E6F43" w:rsidP="00B01A30">
            <w:r w:rsidRPr="00B01A30">
              <w:t>Implementation Consultant</w:t>
            </w:r>
          </w:p>
        </w:tc>
        <w:tc>
          <w:tcPr>
            <w:tcW w:w="3064" w:type="dxa"/>
            <w:tcBorders>
              <w:bottom w:val="single" w:sz="12" w:space="0" w:color="auto"/>
            </w:tcBorders>
            <w:shd w:val="clear" w:color="auto" w:fill="DAE9F7" w:themeFill="text2" w:themeFillTint="1A"/>
          </w:tcPr>
          <w:p w14:paraId="0AE1D79C" w14:textId="7D824944" w:rsidR="000E6F43" w:rsidRPr="00B01A30" w:rsidRDefault="000E6F43" w:rsidP="00B01A30">
            <w:r w:rsidRPr="00B01A30">
              <w:t>National Institute for Heath and Care Excellence</w:t>
            </w:r>
          </w:p>
        </w:tc>
        <w:tc>
          <w:tcPr>
            <w:tcW w:w="1257" w:type="dxa"/>
            <w:tcBorders>
              <w:bottom w:val="single" w:sz="12" w:space="0" w:color="auto"/>
              <w:right w:val="single" w:sz="12" w:space="0" w:color="auto"/>
            </w:tcBorders>
            <w:shd w:val="clear" w:color="auto" w:fill="DAE9F7" w:themeFill="text2" w:themeFillTint="1A"/>
          </w:tcPr>
          <w:p w14:paraId="151923C3" w14:textId="0A41B409" w:rsidR="000E6F43" w:rsidRPr="00B01A30" w:rsidRDefault="000E6F43" w:rsidP="00B01A30">
            <w:r w:rsidRPr="00B01A30">
              <w:t>Yes</w:t>
            </w:r>
          </w:p>
        </w:tc>
      </w:tr>
    </w:tbl>
    <w:p w14:paraId="2216ED08" w14:textId="76D522FA" w:rsidR="00FD537D" w:rsidRDefault="00FD537D" w:rsidP="006E0D04"/>
    <w:p w14:paraId="562BBEDB" w14:textId="684C55A6" w:rsidR="006E0D04" w:rsidRDefault="006E0D04" w:rsidP="006E0D04">
      <w:pPr>
        <w:pStyle w:val="Heading2"/>
      </w:pPr>
      <w:bookmarkStart w:id="19" w:name="_Toc201230585"/>
      <w:r>
        <w:t>Appendix 3: Other attendees at the meeting</w:t>
      </w:r>
      <w:bookmarkEnd w:id="19"/>
    </w:p>
    <w:tbl>
      <w:tblPr>
        <w:tblStyle w:val="TableGrid"/>
        <w:tblW w:w="0" w:type="auto"/>
        <w:tblLook w:val="04A0" w:firstRow="1" w:lastRow="0" w:firstColumn="1" w:lastColumn="0" w:noHBand="0" w:noVBand="1"/>
      </w:tblPr>
      <w:tblGrid>
        <w:gridCol w:w="2614"/>
        <w:gridCol w:w="1634"/>
        <w:gridCol w:w="3594"/>
        <w:gridCol w:w="2614"/>
      </w:tblGrid>
      <w:tr w:rsidR="0074045A" w14:paraId="5C426899" w14:textId="77777777" w:rsidTr="003503D7">
        <w:tc>
          <w:tcPr>
            <w:tcW w:w="2614" w:type="dxa"/>
            <w:shd w:val="clear" w:color="auto" w:fill="215E99" w:themeFill="text2" w:themeFillTint="BF"/>
            <w:vAlign w:val="center"/>
          </w:tcPr>
          <w:p w14:paraId="39D40FD2" w14:textId="2231BF73" w:rsidR="0074045A" w:rsidRPr="00447B1E" w:rsidRDefault="0074045A" w:rsidP="0087676A">
            <w:pPr>
              <w:rPr>
                <w:b/>
                <w:bCs/>
                <w:color w:val="FFFFFF" w:themeColor="background1"/>
              </w:rPr>
            </w:pPr>
            <w:r w:rsidRPr="00447B1E">
              <w:rPr>
                <w:b/>
                <w:bCs/>
                <w:color w:val="FFFFFF" w:themeColor="background1"/>
              </w:rPr>
              <w:t>Membership Type</w:t>
            </w:r>
          </w:p>
        </w:tc>
        <w:tc>
          <w:tcPr>
            <w:tcW w:w="1634" w:type="dxa"/>
            <w:shd w:val="clear" w:color="auto" w:fill="215E99" w:themeFill="text2" w:themeFillTint="BF"/>
            <w:vAlign w:val="center"/>
          </w:tcPr>
          <w:p w14:paraId="176FC954" w14:textId="7B42C9CC" w:rsidR="0074045A" w:rsidRPr="00447B1E" w:rsidRDefault="0074045A" w:rsidP="0087676A">
            <w:pPr>
              <w:rPr>
                <w:b/>
                <w:bCs/>
                <w:color w:val="FFFFFF" w:themeColor="background1"/>
              </w:rPr>
            </w:pPr>
            <w:r w:rsidRPr="00447B1E">
              <w:rPr>
                <w:b/>
                <w:bCs/>
                <w:color w:val="FFFFFF" w:themeColor="background1"/>
              </w:rPr>
              <w:t>Name</w:t>
            </w:r>
          </w:p>
        </w:tc>
        <w:tc>
          <w:tcPr>
            <w:tcW w:w="3594" w:type="dxa"/>
            <w:shd w:val="clear" w:color="auto" w:fill="215E99" w:themeFill="text2" w:themeFillTint="BF"/>
            <w:vAlign w:val="center"/>
          </w:tcPr>
          <w:p w14:paraId="368B4D6B" w14:textId="312816E1" w:rsidR="0074045A" w:rsidRPr="00447B1E" w:rsidRDefault="0074045A" w:rsidP="0087676A">
            <w:pPr>
              <w:rPr>
                <w:b/>
                <w:bCs/>
                <w:color w:val="FFFFFF" w:themeColor="background1"/>
              </w:rPr>
            </w:pPr>
            <w:r w:rsidRPr="00447B1E">
              <w:rPr>
                <w:b/>
                <w:bCs/>
                <w:color w:val="FFFFFF" w:themeColor="background1"/>
              </w:rPr>
              <w:t>Job Title</w:t>
            </w:r>
          </w:p>
        </w:tc>
        <w:tc>
          <w:tcPr>
            <w:tcW w:w="2614" w:type="dxa"/>
            <w:shd w:val="clear" w:color="auto" w:fill="215E99" w:themeFill="text2" w:themeFillTint="BF"/>
            <w:vAlign w:val="center"/>
          </w:tcPr>
          <w:p w14:paraId="1925DAAA" w14:textId="1F79F03A" w:rsidR="0074045A" w:rsidRPr="00447B1E" w:rsidRDefault="0074045A" w:rsidP="0087676A">
            <w:pPr>
              <w:rPr>
                <w:b/>
                <w:bCs/>
                <w:color w:val="FFFFFF" w:themeColor="background1"/>
              </w:rPr>
            </w:pPr>
            <w:r w:rsidRPr="00447B1E">
              <w:rPr>
                <w:b/>
                <w:bCs/>
                <w:color w:val="FFFFFF" w:themeColor="background1"/>
              </w:rPr>
              <w:t>Organisation</w:t>
            </w:r>
          </w:p>
        </w:tc>
      </w:tr>
      <w:tr w:rsidR="0074045A" w14:paraId="3201AEA4" w14:textId="77777777" w:rsidTr="00447B1E">
        <w:tc>
          <w:tcPr>
            <w:tcW w:w="2614" w:type="dxa"/>
          </w:tcPr>
          <w:p w14:paraId="7AB3A24D" w14:textId="4B8BA9FA" w:rsidR="0074045A" w:rsidRPr="00447B1E" w:rsidRDefault="00AB6FCF" w:rsidP="00447B1E">
            <w:r w:rsidRPr="00447B1E">
              <w:t>Guest Speaker</w:t>
            </w:r>
            <w:r w:rsidR="00A53D31" w:rsidRPr="00447B1E">
              <w:t xml:space="preserve"> / Citizens’ Assembly Representative</w:t>
            </w:r>
          </w:p>
        </w:tc>
        <w:tc>
          <w:tcPr>
            <w:tcW w:w="1634" w:type="dxa"/>
          </w:tcPr>
          <w:p w14:paraId="58665351" w14:textId="3584EA0B" w:rsidR="0074045A" w:rsidRPr="00447B1E" w:rsidRDefault="00AB6FCF" w:rsidP="00447B1E">
            <w:r w:rsidRPr="00447B1E">
              <w:t>Kevin Dixon</w:t>
            </w:r>
          </w:p>
        </w:tc>
        <w:tc>
          <w:tcPr>
            <w:tcW w:w="3594" w:type="dxa"/>
          </w:tcPr>
          <w:p w14:paraId="68972144" w14:textId="364E288A" w:rsidR="0074045A" w:rsidRPr="00447B1E" w:rsidRDefault="00E37030" w:rsidP="00447B1E">
            <w:r w:rsidRPr="00447B1E">
              <w:rPr>
                <w:rFonts w:eastAsia="Arial"/>
                <w:bCs/>
                <w:color w:val="000000" w:themeColor="text1"/>
              </w:rPr>
              <w:t>Chair of Healthwatch Devon, Plymouth, Torbay</w:t>
            </w:r>
          </w:p>
        </w:tc>
        <w:tc>
          <w:tcPr>
            <w:tcW w:w="2614" w:type="dxa"/>
          </w:tcPr>
          <w:p w14:paraId="08E41B8D" w14:textId="6D8F6883" w:rsidR="0074045A" w:rsidRPr="00447B1E" w:rsidRDefault="00E37030" w:rsidP="00447B1E">
            <w:r w:rsidRPr="00447B1E">
              <w:rPr>
                <w:rFonts w:eastAsia="Arial"/>
                <w:bCs/>
                <w:color w:val="000000" w:themeColor="text1"/>
              </w:rPr>
              <w:t>Healthwatch Devon, Plymouth, Torbay &amp; Citizens’ Assembly</w:t>
            </w:r>
          </w:p>
        </w:tc>
      </w:tr>
      <w:tr w:rsidR="0074045A" w14:paraId="5E141E0F" w14:textId="77777777" w:rsidTr="00447B1E">
        <w:tc>
          <w:tcPr>
            <w:tcW w:w="2614" w:type="dxa"/>
          </w:tcPr>
          <w:p w14:paraId="059588D2" w14:textId="2CDA676E" w:rsidR="0074045A" w:rsidRPr="00447B1E" w:rsidRDefault="00B73137" w:rsidP="00447B1E">
            <w:r w:rsidRPr="00447B1E">
              <w:t>Guest Speaker</w:t>
            </w:r>
          </w:p>
        </w:tc>
        <w:tc>
          <w:tcPr>
            <w:tcW w:w="1634" w:type="dxa"/>
          </w:tcPr>
          <w:p w14:paraId="54AE9F74" w14:textId="6E31B5AB" w:rsidR="0074045A" w:rsidRPr="00447B1E" w:rsidRDefault="00B73137" w:rsidP="00447B1E">
            <w:r w:rsidRPr="00447B1E">
              <w:t>Doug Haines</w:t>
            </w:r>
          </w:p>
        </w:tc>
        <w:tc>
          <w:tcPr>
            <w:tcW w:w="3594" w:type="dxa"/>
          </w:tcPr>
          <w:p w14:paraId="4A2803B3" w14:textId="21EF7FE6" w:rsidR="0074045A" w:rsidRPr="00447B1E" w:rsidRDefault="00F9642B" w:rsidP="00447B1E">
            <w:r w:rsidRPr="00447B1E">
              <w:t>Programme manager, SW Regional Public Health Team, Office for Health Improvement and Disparities, DHSC</w:t>
            </w:r>
          </w:p>
        </w:tc>
        <w:tc>
          <w:tcPr>
            <w:tcW w:w="2614" w:type="dxa"/>
          </w:tcPr>
          <w:p w14:paraId="7C22CCB4" w14:textId="0E770883" w:rsidR="0074045A" w:rsidRPr="00447B1E" w:rsidRDefault="00F9642B" w:rsidP="00447B1E">
            <w:r w:rsidRPr="00447B1E">
              <w:t>NHS England</w:t>
            </w:r>
          </w:p>
        </w:tc>
      </w:tr>
      <w:tr w:rsidR="0074045A" w14:paraId="70431B26" w14:textId="77777777" w:rsidTr="00447B1E">
        <w:tc>
          <w:tcPr>
            <w:tcW w:w="2614" w:type="dxa"/>
          </w:tcPr>
          <w:p w14:paraId="44D20B47" w14:textId="7BA49481" w:rsidR="0074045A" w:rsidRPr="00447B1E" w:rsidRDefault="00160435" w:rsidP="00447B1E">
            <w:r w:rsidRPr="00447B1E">
              <w:t>Guest Speaker</w:t>
            </w:r>
          </w:p>
        </w:tc>
        <w:tc>
          <w:tcPr>
            <w:tcW w:w="1634" w:type="dxa"/>
          </w:tcPr>
          <w:p w14:paraId="490776DD" w14:textId="5FFE9823" w:rsidR="0074045A" w:rsidRPr="00447B1E" w:rsidRDefault="00160435" w:rsidP="00447B1E">
            <w:r w:rsidRPr="00447B1E">
              <w:t>Pip Peakman</w:t>
            </w:r>
          </w:p>
        </w:tc>
        <w:tc>
          <w:tcPr>
            <w:tcW w:w="3594" w:type="dxa"/>
          </w:tcPr>
          <w:p w14:paraId="3E67CE7B" w14:textId="3E693F7F" w:rsidR="0074045A" w:rsidRPr="00447B1E" w:rsidRDefault="00A53D31" w:rsidP="00447B1E">
            <w:r w:rsidRPr="00447B1E">
              <w:rPr>
                <w:rFonts w:eastAsia="Arial" w:cs="Arial"/>
                <w:bCs/>
              </w:rPr>
              <w:t>Executive Director of Innovation</w:t>
            </w:r>
          </w:p>
        </w:tc>
        <w:tc>
          <w:tcPr>
            <w:tcW w:w="2614" w:type="dxa"/>
          </w:tcPr>
          <w:p w14:paraId="2F69287D" w14:textId="5D096414" w:rsidR="0074045A" w:rsidRPr="00447B1E" w:rsidRDefault="00A53D31" w:rsidP="00447B1E">
            <w:r w:rsidRPr="00447B1E">
              <w:t>Health Innovation South West</w:t>
            </w:r>
          </w:p>
        </w:tc>
      </w:tr>
      <w:tr w:rsidR="0074045A" w14:paraId="51E25847" w14:textId="77777777" w:rsidTr="00447B1E">
        <w:tc>
          <w:tcPr>
            <w:tcW w:w="2614" w:type="dxa"/>
          </w:tcPr>
          <w:p w14:paraId="5975758B" w14:textId="79EF9B17" w:rsidR="0074045A" w:rsidRPr="00447B1E" w:rsidRDefault="00A53D31" w:rsidP="00447B1E">
            <w:r w:rsidRPr="00447B1E">
              <w:lastRenderedPageBreak/>
              <w:t>Citizens’ Assembly Representative</w:t>
            </w:r>
          </w:p>
        </w:tc>
        <w:tc>
          <w:tcPr>
            <w:tcW w:w="1634" w:type="dxa"/>
          </w:tcPr>
          <w:p w14:paraId="0A2B2F57" w14:textId="48E82E14" w:rsidR="0074045A" w:rsidRPr="00447B1E" w:rsidRDefault="00A53D31" w:rsidP="00447B1E">
            <w:r w:rsidRPr="00447B1E">
              <w:t>Paul Trainer</w:t>
            </w:r>
          </w:p>
        </w:tc>
        <w:tc>
          <w:tcPr>
            <w:tcW w:w="3594" w:type="dxa"/>
          </w:tcPr>
          <w:p w14:paraId="35C3C7EA" w14:textId="5843F642" w:rsidR="0074045A" w:rsidRPr="00447B1E" w:rsidRDefault="00D138D1" w:rsidP="00447B1E">
            <w:r w:rsidRPr="00447B1E">
              <w:t>Citizens’ Assembly Representative</w:t>
            </w:r>
          </w:p>
        </w:tc>
        <w:tc>
          <w:tcPr>
            <w:tcW w:w="2614" w:type="dxa"/>
          </w:tcPr>
          <w:p w14:paraId="32D93566" w14:textId="6D74FEF1" w:rsidR="0074045A" w:rsidRPr="00447B1E" w:rsidRDefault="00D138D1" w:rsidP="00447B1E">
            <w:r w:rsidRPr="00447B1E">
              <w:rPr>
                <w:rFonts w:eastAsia="Arial"/>
                <w:bCs/>
                <w:color w:val="000000" w:themeColor="text1"/>
              </w:rPr>
              <w:t>Healthwatch Devon, Plymouth, Torbay &amp; Citizens’ Assembly</w:t>
            </w:r>
          </w:p>
        </w:tc>
      </w:tr>
    </w:tbl>
    <w:p w14:paraId="5BB8B595" w14:textId="77777777" w:rsidR="0074045A" w:rsidRPr="0074045A" w:rsidRDefault="0074045A" w:rsidP="0074045A"/>
    <w:sectPr w:rsidR="0074045A" w:rsidRPr="0074045A" w:rsidSect="007B2F04">
      <w:footerReference w:type="default" r:id="rId3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0EA4" w14:textId="77777777" w:rsidR="00EE69F3" w:rsidRDefault="00EE69F3" w:rsidP="003E3FB5">
      <w:pPr>
        <w:spacing w:after="0" w:line="240" w:lineRule="auto"/>
      </w:pPr>
      <w:r>
        <w:separator/>
      </w:r>
    </w:p>
  </w:endnote>
  <w:endnote w:type="continuationSeparator" w:id="0">
    <w:p w14:paraId="6684D0C8" w14:textId="77777777" w:rsidR="00EE69F3" w:rsidRDefault="00EE69F3" w:rsidP="003E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292086"/>
      <w:docPartObj>
        <w:docPartGallery w:val="Page Numbers (Bottom of Page)"/>
        <w:docPartUnique/>
      </w:docPartObj>
    </w:sdtPr>
    <w:sdtEndPr/>
    <w:sdtContent>
      <w:p w14:paraId="19A2C234" w14:textId="06B4C3C3" w:rsidR="003E3FB5" w:rsidRDefault="003E3FB5">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1688E8B2" w14:textId="77777777" w:rsidR="003E3FB5" w:rsidRDefault="003E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05EB" w14:textId="77777777" w:rsidR="00EE69F3" w:rsidRDefault="00EE69F3" w:rsidP="003E3FB5">
      <w:pPr>
        <w:spacing w:after="0" w:line="240" w:lineRule="auto"/>
      </w:pPr>
      <w:r>
        <w:separator/>
      </w:r>
    </w:p>
  </w:footnote>
  <w:footnote w:type="continuationSeparator" w:id="0">
    <w:p w14:paraId="1D947561" w14:textId="77777777" w:rsidR="00EE69F3" w:rsidRDefault="00EE69F3" w:rsidP="003E3FB5">
      <w:pPr>
        <w:spacing w:after="0" w:line="240" w:lineRule="auto"/>
      </w:pPr>
      <w:r>
        <w:continuationSeparator/>
      </w:r>
    </w:p>
  </w:footnote>
  <w:footnote w:id="1">
    <w:p w14:paraId="66505316" w14:textId="7814E192" w:rsidR="00CD0360" w:rsidRPr="00CD0360" w:rsidRDefault="00CD0360" w:rsidP="0087476E">
      <w:pPr>
        <w:pStyle w:val="FootnoteText"/>
      </w:pPr>
      <w:r>
        <w:rPr>
          <w:rStyle w:val="FootnoteReference"/>
        </w:rPr>
        <w:footnoteRef/>
      </w:r>
      <w:r>
        <w:t xml:space="preserve"> </w:t>
      </w:r>
      <w:hyperlink r:id="rId1" w:history="1">
        <w:r w:rsidR="0087476E" w:rsidRPr="0087476E">
          <w:rPr>
            <w:rStyle w:val="Hyperlink"/>
          </w:rPr>
          <w:t>Road to recovery: the government's 2025 mandate to NHS England - GOV.UK</w:t>
        </w:r>
      </w:hyperlink>
    </w:p>
  </w:footnote>
  <w:footnote w:id="2">
    <w:p w14:paraId="7CB426A6" w14:textId="21B594D2" w:rsidR="008F3B9E" w:rsidRPr="008F3B9E" w:rsidRDefault="008F3B9E" w:rsidP="008F3B9E">
      <w:pPr>
        <w:pStyle w:val="FootnoteText"/>
      </w:pPr>
      <w:r>
        <w:rPr>
          <w:rStyle w:val="FootnoteReference"/>
        </w:rPr>
        <w:footnoteRef/>
      </w:r>
      <w:r>
        <w:t xml:space="preserve"> </w:t>
      </w:r>
      <w:hyperlink r:id="rId2" w:history="1">
        <w:r w:rsidRPr="008F3B9E">
          <w:rPr>
            <w:rStyle w:val="Hyperlink"/>
          </w:rPr>
          <w:t>Chief Medical Officer's Annual Report 2021 - Health in Coastal Communities – Summary and recommendations</w:t>
        </w:r>
      </w:hyperlink>
    </w:p>
  </w:footnote>
  <w:footnote w:id="3">
    <w:p w14:paraId="04425F2E" w14:textId="755DF2FA" w:rsidR="00D74A50" w:rsidRPr="00D74A50" w:rsidRDefault="00D74A50" w:rsidP="00D74A50">
      <w:pPr>
        <w:pStyle w:val="FootnoteText"/>
      </w:pPr>
      <w:r>
        <w:rPr>
          <w:rStyle w:val="FootnoteReference"/>
        </w:rPr>
        <w:footnoteRef/>
      </w:r>
      <w:r>
        <w:t xml:space="preserve"> </w:t>
      </w:r>
      <w:hyperlink r:id="rId3" w:history="1">
        <w:r w:rsidRPr="00D74A50">
          <w:rPr>
            <w:rStyle w:val="Hyperlink"/>
          </w:rPr>
          <w:t>Traveling Towards Disease: Transportation Barriers to Health Care Access - PMC</w:t>
        </w:r>
      </w:hyperlink>
    </w:p>
  </w:footnote>
  <w:footnote w:id="4">
    <w:p w14:paraId="33164D2B" w14:textId="5A8F1928" w:rsidR="006D0039" w:rsidRDefault="006D0039" w:rsidP="006D0039">
      <w:pPr>
        <w:pStyle w:val="FootnoteText"/>
      </w:pPr>
      <w:r>
        <w:rPr>
          <w:rStyle w:val="FootnoteReference"/>
        </w:rPr>
        <w:footnoteRef/>
      </w:r>
      <w:r>
        <w:t xml:space="preserve"> </w:t>
      </w:r>
      <w:hyperlink r:id="rId4" w:history="1">
        <w:r>
          <w:rPr>
            <w:rStyle w:val="Hyperlink"/>
          </w:rPr>
          <w:t>Coastal Communities (Number CDP 2025/0059)</w:t>
        </w:r>
      </w:hyperlink>
    </w:p>
  </w:footnote>
  <w:footnote w:id="5">
    <w:p w14:paraId="7744A068" w14:textId="6FB83A4E" w:rsidR="004F67D5" w:rsidRPr="004F67D5" w:rsidRDefault="004F67D5" w:rsidP="004F67D5">
      <w:pPr>
        <w:pStyle w:val="FootnoteText"/>
      </w:pPr>
      <w:r>
        <w:rPr>
          <w:rStyle w:val="FootnoteReference"/>
        </w:rPr>
        <w:footnoteRef/>
      </w:r>
      <w:r>
        <w:t xml:space="preserve"> </w:t>
      </w:r>
      <w:hyperlink r:id="rId5" w:history="1">
        <w:r w:rsidRPr="004F67D5">
          <w:rPr>
            <w:rStyle w:val="Hyperlink"/>
          </w:rPr>
          <w:t>Digital exclusion is leaving coastal communities behind - University of Plymouth</w:t>
        </w:r>
      </w:hyperlink>
    </w:p>
  </w:footnote>
  <w:footnote w:id="6">
    <w:p w14:paraId="23AD186E" w14:textId="12E9EE77" w:rsidR="00570A77" w:rsidRPr="00570A77" w:rsidRDefault="00570A77" w:rsidP="00570A77">
      <w:pPr>
        <w:pStyle w:val="FootnoteText"/>
      </w:pPr>
      <w:r>
        <w:rPr>
          <w:rStyle w:val="FootnoteReference"/>
        </w:rPr>
        <w:footnoteRef/>
      </w:r>
      <w:r>
        <w:t xml:space="preserve"> </w:t>
      </w:r>
      <w:hyperlink r:id="rId6" w:history="1">
        <w:r w:rsidRPr="00570A77">
          <w:rPr>
            <w:rStyle w:val="Hyperlink"/>
          </w:rPr>
          <w:t>Coastal Navigators Network – Interim Report – Breaking Barriers Innovations</w:t>
        </w:r>
      </w:hyperlink>
    </w:p>
  </w:footnote>
  <w:footnote w:id="7">
    <w:p w14:paraId="1239389D" w14:textId="7BA3F4B5" w:rsidR="00D704FD" w:rsidRPr="00D704FD" w:rsidRDefault="00D704FD" w:rsidP="00D704FD">
      <w:pPr>
        <w:pStyle w:val="FootnoteText"/>
      </w:pPr>
      <w:r>
        <w:rPr>
          <w:rStyle w:val="FootnoteReference"/>
        </w:rPr>
        <w:footnoteRef/>
      </w:r>
      <w:r>
        <w:t xml:space="preserve"> </w:t>
      </w:r>
      <w:hyperlink r:id="rId7" w:history="1">
        <w:r w:rsidRPr="00D704FD">
          <w:rPr>
            <w:rStyle w:val="Hyperlink"/>
          </w:rPr>
          <w:t>Home - Peninsula Research &amp; Innovation Partnership</w:t>
        </w:r>
      </w:hyperlink>
    </w:p>
  </w:footnote>
  <w:footnote w:id="8">
    <w:p w14:paraId="4DE973E1" w14:textId="5D714175" w:rsidR="00315918" w:rsidRPr="00315918" w:rsidRDefault="00315918" w:rsidP="00315918">
      <w:pPr>
        <w:pStyle w:val="FootnoteText"/>
      </w:pPr>
      <w:r>
        <w:rPr>
          <w:rStyle w:val="FootnoteReference"/>
        </w:rPr>
        <w:footnoteRef/>
      </w:r>
      <w:r>
        <w:t xml:space="preserve"> </w:t>
      </w:r>
      <w:hyperlink r:id="rId8" w:history="1">
        <w:r w:rsidRPr="00315918">
          <w:rPr>
            <w:rStyle w:val="Hyperlink"/>
          </w:rPr>
          <w:t>Average number of deaths by Middle-Layer Super Output Area (MSOA) and month of death registration, England and Wales, deaths registered in 2015 to 2019 - Office for National Statistics</w:t>
        </w:r>
      </w:hyperlink>
    </w:p>
  </w:footnote>
  <w:footnote w:id="9">
    <w:p w14:paraId="2AB4D204" w14:textId="33222FCB" w:rsidR="00601506" w:rsidRPr="00601506" w:rsidRDefault="00601506" w:rsidP="00601506">
      <w:pPr>
        <w:pStyle w:val="FootnoteText"/>
      </w:pPr>
      <w:r>
        <w:rPr>
          <w:rStyle w:val="FootnoteReference"/>
        </w:rPr>
        <w:footnoteRef/>
      </w:r>
      <w:r>
        <w:t xml:space="preserve"> </w:t>
      </w:r>
      <w:hyperlink r:id="rId9" w:history="1">
        <w:r w:rsidRPr="00601506">
          <w:rPr>
            <w:rStyle w:val="Hyperlink"/>
          </w:rPr>
          <w:t>Coastal Health Outcomes – Contributing to the Chief Medical Officer’s Annual Report 2021 - University of Plymouth</w:t>
        </w:r>
      </w:hyperlink>
    </w:p>
  </w:footnote>
  <w:footnote w:id="10">
    <w:p w14:paraId="3D287F19" w14:textId="65F3DA43" w:rsidR="00FA3643" w:rsidRPr="00FA3643" w:rsidRDefault="00FA3643" w:rsidP="00FA3643">
      <w:pPr>
        <w:pStyle w:val="FootnoteText"/>
      </w:pPr>
      <w:r>
        <w:rPr>
          <w:rStyle w:val="FootnoteReference"/>
        </w:rPr>
        <w:footnoteRef/>
      </w:r>
      <w:r>
        <w:t xml:space="preserve"> </w:t>
      </w:r>
      <w:hyperlink r:id="rId10" w:history="1">
        <w:r w:rsidRPr="00FA3643">
          <w:rPr>
            <w:rStyle w:val="Hyperlink"/>
          </w:rPr>
          <w:t>Chief Medical Officer’s annual report 2023: health in an ageing society - GOV.UK</w:t>
        </w:r>
      </w:hyperlink>
    </w:p>
  </w:footnote>
  <w:footnote w:id="11">
    <w:p w14:paraId="4FF3E582" w14:textId="086CEAB7" w:rsidR="003939DC" w:rsidRPr="003939DC" w:rsidRDefault="003939DC" w:rsidP="003939DC">
      <w:pPr>
        <w:pStyle w:val="FootnoteText"/>
      </w:pPr>
      <w:r>
        <w:rPr>
          <w:rStyle w:val="FootnoteReference"/>
        </w:rPr>
        <w:footnoteRef/>
      </w:r>
      <w:r>
        <w:t xml:space="preserve"> </w:t>
      </w:r>
      <w:hyperlink r:id="rId11" w:history="1">
        <w:r w:rsidRPr="003939DC">
          <w:rPr>
            <w:rStyle w:val="Hyperlink"/>
          </w:rPr>
          <w:t>Population projections - Office for National Statistics</w:t>
        </w:r>
      </w:hyperlink>
    </w:p>
  </w:footnote>
  <w:footnote w:id="12">
    <w:p w14:paraId="18920943" w14:textId="27F81160" w:rsidR="00097D82" w:rsidRPr="00097D82" w:rsidRDefault="00097D82" w:rsidP="00097D82">
      <w:pPr>
        <w:pStyle w:val="FootnoteText"/>
      </w:pPr>
      <w:r>
        <w:rPr>
          <w:rStyle w:val="FootnoteReference"/>
        </w:rPr>
        <w:footnoteRef/>
      </w:r>
      <w:r>
        <w:t xml:space="preserve"> </w:t>
      </w:r>
      <w:hyperlink r:id="rId12" w:history="1">
        <w:r w:rsidRPr="00097D82">
          <w:rPr>
            <w:rStyle w:val="Hyperlink"/>
          </w:rPr>
          <w:t>Disability, England and Wales - Office for National Statistics</w:t>
        </w:r>
      </w:hyperlink>
    </w:p>
  </w:footnote>
  <w:footnote w:id="13">
    <w:p w14:paraId="768A094A" w14:textId="1CE5E370" w:rsidR="00A86E0E" w:rsidRDefault="00A86E0E" w:rsidP="00A86E0E">
      <w:pPr>
        <w:pStyle w:val="FootnoteText"/>
      </w:pPr>
      <w:r>
        <w:rPr>
          <w:rStyle w:val="FootnoteReference"/>
        </w:rPr>
        <w:footnoteRef/>
      </w:r>
      <w:r>
        <w:t xml:space="preserve"> </w:t>
      </w:r>
      <w:hyperlink r:id="rId13" w:history="1">
        <w:r w:rsidRPr="00A86E0E">
          <w:rPr>
            <w:rStyle w:val="Hyperlink"/>
          </w:rPr>
          <w:t>Frailty among Older Adults and Its Distribution in England - PubMed</w:t>
        </w:r>
      </w:hyperlink>
    </w:p>
  </w:footnote>
  <w:footnote w:id="14">
    <w:p w14:paraId="5AB2FE9C" w14:textId="0C21C59F" w:rsidR="002A64CF" w:rsidRDefault="002A64CF" w:rsidP="002A64CF">
      <w:pPr>
        <w:pStyle w:val="FootnoteText"/>
      </w:pPr>
      <w:r>
        <w:rPr>
          <w:rStyle w:val="FootnoteReference"/>
        </w:rPr>
        <w:footnoteRef/>
      </w:r>
      <w:r>
        <w:t xml:space="preserve"> </w:t>
      </w:r>
      <w:hyperlink r:id="rId14" w:history="1">
        <w:r w:rsidR="007B667E">
          <w:rPr>
            <w:rStyle w:val="Hyperlink"/>
          </w:rPr>
          <w:t>Torbay Council: Director of Public Health Report 2022</w:t>
        </w:r>
      </w:hyperlink>
    </w:p>
  </w:footnote>
  <w:footnote w:id="15">
    <w:p w14:paraId="79E8D5C1" w14:textId="4716B1E4" w:rsidR="00D87A00" w:rsidRDefault="00D87A00" w:rsidP="00D87A00">
      <w:pPr>
        <w:pStyle w:val="FootnoteText"/>
      </w:pPr>
      <w:r>
        <w:rPr>
          <w:rStyle w:val="FootnoteReference"/>
        </w:rPr>
        <w:footnoteRef/>
      </w:r>
      <w:r>
        <w:t xml:space="preserve"> </w:t>
      </w:r>
      <w:hyperlink r:id="rId15" w:history="1">
        <w:r w:rsidRPr="00D87A00">
          <w:rPr>
            <w:rStyle w:val="Hyperlink"/>
          </w:rPr>
          <w:t>Somerset Drug and Alcohol Needs Assessment 2022</w:t>
        </w:r>
      </w:hyperlink>
    </w:p>
  </w:footnote>
  <w:footnote w:id="16">
    <w:p w14:paraId="3CAED862" w14:textId="6ACD8814" w:rsidR="0016133B" w:rsidRDefault="0016133B" w:rsidP="0016133B">
      <w:pPr>
        <w:pStyle w:val="FootnoteText"/>
      </w:pPr>
      <w:r>
        <w:rPr>
          <w:rStyle w:val="FootnoteReference"/>
        </w:rPr>
        <w:footnoteRef/>
      </w:r>
      <w:r>
        <w:t xml:space="preserve"> </w:t>
      </w:r>
      <w:hyperlink r:id="rId16" w:history="1">
        <w:r w:rsidRPr="0016133B">
          <w:rPr>
            <w:rStyle w:val="Hyperlink"/>
          </w:rPr>
          <w:t>Closing the health innovation gap – a rural and coastal challenge  - Health Innovation South West</w:t>
        </w:r>
      </w:hyperlink>
    </w:p>
  </w:footnote>
  <w:footnote w:id="17">
    <w:p w14:paraId="331761AD" w14:textId="5B2CD578" w:rsidR="00D71673" w:rsidRDefault="00D71673">
      <w:pPr>
        <w:pStyle w:val="FootnoteText"/>
      </w:pPr>
      <w:r>
        <w:rPr>
          <w:rStyle w:val="FootnoteReference"/>
        </w:rPr>
        <w:footnoteRef/>
      </w:r>
      <w:r>
        <w:t xml:space="preserve"> </w:t>
      </w:r>
      <w:r w:rsidR="00764074">
        <w:t>Type 1 ED is a consultant-led, 24/7 service with full resuscitation facilities</w:t>
      </w:r>
      <w:r w:rsidR="003741AF">
        <w:t xml:space="preserve"> for treating serious and life-threatening conditions. </w:t>
      </w:r>
    </w:p>
  </w:footnote>
  <w:footnote w:id="18">
    <w:p w14:paraId="02CC211D" w14:textId="784CA537" w:rsidR="002C1365" w:rsidRDefault="002C1365" w:rsidP="002C1365">
      <w:pPr>
        <w:pStyle w:val="FootnoteText"/>
      </w:pPr>
      <w:r>
        <w:rPr>
          <w:rStyle w:val="FootnoteReference"/>
        </w:rPr>
        <w:footnoteRef/>
      </w:r>
      <w:r>
        <w:t xml:space="preserve"> </w:t>
      </w:r>
      <w:hyperlink r:id="rId17" w:history="1">
        <w:r>
          <w:rPr>
            <w:rStyle w:val="Hyperlink"/>
          </w:rPr>
          <w:t>The Value of Listening, Healthwatch Devon, Plymouth and Torbay</w:t>
        </w:r>
      </w:hyperlink>
    </w:p>
  </w:footnote>
  <w:footnote w:id="19">
    <w:p w14:paraId="679AE556" w14:textId="3F2CCA27" w:rsidR="00F611F6" w:rsidRDefault="00F611F6" w:rsidP="00F611F6">
      <w:pPr>
        <w:pStyle w:val="FootnoteText"/>
      </w:pPr>
      <w:r>
        <w:rPr>
          <w:rStyle w:val="FootnoteReference"/>
        </w:rPr>
        <w:footnoteRef/>
      </w:r>
      <w:r>
        <w:t xml:space="preserve"> </w:t>
      </w:r>
      <w:hyperlink r:id="rId18" w:anchor=":~:text=Housing%20is%20unaffordable%20in%20Torbay,higher%20demand%20for%20holiday%20accommodation." w:history="1">
        <w:r w:rsidRPr="00F611F6">
          <w:rPr>
            <w:rStyle w:val="Hyperlink"/>
          </w:rPr>
          <w:t>Housing Strategy evidence base 2023 - Torbay Council</w:t>
        </w:r>
      </w:hyperlink>
    </w:p>
  </w:footnote>
  <w:footnote w:id="20">
    <w:p w14:paraId="62F53C8A" w14:textId="4DFC549B" w:rsidR="005E0F31" w:rsidRDefault="005E0F31" w:rsidP="005E0F31">
      <w:pPr>
        <w:pStyle w:val="FootnoteText"/>
      </w:pPr>
      <w:r>
        <w:rPr>
          <w:rStyle w:val="FootnoteReference"/>
        </w:rPr>
        <w:footnoteRef/>
      </w:r>
      <w:r>
        <w:t xml:space="preserve"> </w:t>
      </w:r>
      <w:hyperlink r:id="rId19" w:history="1">
        <w:r w:rsidRPr="005E0F31">
          <w:rPr>
            <w:rStyle w:val="Hyperlink"/>
          </w:rPr>
          <w:t>Allocation of Higher Needs Provision Capital Allocation 2025 26 EIA.pdf</w:t>
        </w:r>
      </w:hyperlink>
    </w:p>
  </w:footnote>
  <w:footnote w:id="21">
    <w:p w14:paraId="6570511B" w14:textId="415B731F" w:rsidR="00BB7412" w:rsidRDefault="00BB7412" w:rsidP="00BB7412">
      <w:pPr>
        <w:pStyle w:val="FootnoteText"/>
      </w:pPr>
      <w:r>
        <w:rPr>
          <w:rStyle w:val="FootnoteReference"/>
        </w:rPr>
        <w:footnoteRef/>
      </w:r>
      <w:r>
        <w:t xml:space="preserve"> </w:t>
      </w:r>
      <w:hyperlink r:id="rId20" w:history="1">
        <w:r w:rsidRPr="00BB7412">
          <w:rPr>
            <w:rStyle w:val="Hyperlink"/>
          </w:rPr>
          <w:t>Provisional TORBAY JOINT STRATEGIC NEEDS ASSESSMENT 2024/25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63D"/>
    <w:multiLevelType w:val="hybridMultilevel"/>
    <w:tmpl w:val="C6F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B79F0"/>
    <w:multiLevelType w:val="hybridMultilevel"/>
    <w:tmpl w:val="5BF2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B68F2"/>
    <w:multiLevelType w:val="multilevel"/>
    <w:tmpl w:val="BF9C639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3839DB"/>
    <w:multiLevelType w:val="hybridMultilevel"/>
    <w:tmpl w:val="6E86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815D5"/>
    <w:multiLevelType w:val="hybridMultilevel"/>
    <w:tmpl w:val="0D480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7E14D1"/>
    <w:multiLevelType w:val="hybridMultilevel"/>
    <w:tmpl w:val="ADBA2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FF5250"/>
    <w:multiLevelType w:val="hybridMultilevel"/>
    <w:tmpl w:val="40D6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5052C"/>
    <w:multiLevelType w:val="hybridMultilevel"/>
    <w:tmpl w:val="40649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BA5C99"/>
    <w:multiLevelType w:val="multilevel"/>
    <w:tmpl w:val="1BEED7D0"/>
    <w:lvl w:ilvl="0">
      <w:start w:val="1"/>
      <w:numFmt w:val="decimal"/>
      <w:lvlText w:val="%1."/>
      <w:lvlJc w:val="left"/>
      <w:pPr>
        <w:ind w:left="720" w:hanging="360"/>
      </w:pPr>
      <w:rPr>
        <w:rFonts w:hint="default"/>
      </w:r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0E4E8D"/>
    <w:multiLevelType w:val="hybridMultilevel"/>
    <w:tmpl w:val="E7C64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4292411">
    <w:abstractNumId w:val="9"/>
  </w:num>
  <w:num w:numId="2" w16cid:durableId="1823960614">
    <w:abstractNumId w:val="2"/>
  </w:num>
  <w:num w:numId="3" w16cid:durableId="971641334">
    <w:abstractNumId w:val="1"/>
  </w:num>
  <w:num w:numId="4" w16cid:durableId="544753931">
    <w:abstractNumId w:val="8"/>
  </w:num>
  <w:num w:numId="5" w16cid:durableId="47268370">
    <w:abstractNumId w:val="7"/>
  </w:num>
  <w:num w:numId="6" w16cid:durableId="1949584144">
    <w:abstractNumId w:val="3"/>
  </w:num>
  <w:num w:numId="7" w16cid:durableId="75714847">
    <w:abstractNumId w:val="5"/>
  </w:num>
  <w:num w:numId="8" w16cid:durableId="1150175717">
    <w:abstractNumId w:val="0"/>
  </w:num>
  <w:num w:numId="9" w16cid:durableId="1823427794">
    <w:abstractNumId w:val="6"/>
  </w:num>
  <w:num w:numId="10" w16cid:durableId="1919050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0OusVXW34BcHgIhGTR+nx5fc3by27KxvAHOGbcEXkCTaGlcaomimIRK9ZK5EFYZMMs3b2hxBg/3+3XYMFTALTA==" w:salt="Rn+/wrxOyTQcjXX0oSKb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A7"/>
    <w:rsid w:val="00003FF6"/>
    <w:rsid w:val="000043DA"/>
    <w:rsid w:val="0000586C"/>
    <w:rsid w:val="00012BC4"/>
    <w:rsid w:val="00014A9F"/>
    <w:rsid w:val="000179FA"/>
    <w:rsid w:val="00026222"/>
    <w:rsid w:val="00030209"/>
    <w:rsid w:val="00036274"/>
    <w:rsid w:val="000402C4"/>
    <w:rsid w:val="00040E88"/>
    <w:rsid w:val="00040F4B"/>
    <w:rsid w:val="0004716D"/>
    <w:rsid w:val="00050C58"/>
    <w:rsid w:val="000524E4"/>
    <w:rsid w:val="00055480"/>
    <w:rsid w:val="000634BD"/>
    <w:rsid w:val="00067E72"/>
    <w:rsid w:val="00070EE2"/>
    <w:rsid w:val="00072874"/>
    <w:rsid w:val="00072FA5"/>
    <w:rsid w:val="00075FFC"/>
    <w:rsid w:val="00084B80"/>
    <w:rsid w:val="00093688"/>
    <w:rsid w:val="00093C65"/>
    <w:rsid w:val="0009703C"/>
    <w:rsid w:val="00097D82"/>
    <w:rsid w:val="000A6A97"/>
    <w:rsid w:val="000B1684"/>
    <w:rsid w:val="000B4D3A"/>
    <w:rsid w:val="000C00FD"/>
    <w:rsid w:val="000C0533"/>
    <w:rsid w:val="000D2B1C"/>
    <w:rsid w:val="000D3C10"/>
    <w:rsid w:val="000D48BD"/>
    <w:rsid w:val="000D4E64"/>
    <w:rsid w:val="000E6F43"/>
    <w:rsid w:val="000F0028"/>
    <w:rsid w:val="000F0812"/>
    <w:rsid w:val="000F0CA5"/>
    <w:rsid w:val="000F5D60"/>
    <w:rsid w:val="000F73CC"/>
    <w:rsid w:val="001002C1"/>
    <w:rsid w:val="00102B2D"/>
    <w:rsid w:val="0010580E"/>
    <w:rsid w:val="00110532"/>
    <w:rsid w:val="00111340"/>
    <w:rsid w:val="00115F8C"/>
    <w:rsid w:val="001267F6"/>
    <w:rsid w:val="00127730"/>
    <w:rsid w:val="0013319B"/>
    <w:rsid w:val="001345C8"/>
    <w:rsid w:val="00142868"/>
    <w:rsid w:val="001461BC"/>
    <w:rsid w:val="00147506"/>
    <w:rsid w:val="001548CF"/>
    <w:rsid w:val="00160435"/>
    <w:rsid w:val="00160F0B"/>
    <w:rsid w:val="0016133B"/>
    <w:rsid w:val="00163BD2"/>
    <w:rsid w:val="00170965"/>
    <w:rsid w:val="001769D4"/>
    <w:rsid w:val="00184A46"/>
    <w:rsid w:val="0018507C"/>
    <w:rsid w:val="001964A9"/>
    <w:rsid w:val="00197BC5"/>
    <w:rsid w:val="001A6650"/>
    <w:rsid w:val="001B20AF"/>
    <w:rsid w:val="001D00C1"/>
    <w:rsid w:val="001D12F7"/>
    <w:rsid w:val="001D21F0"/>
    <w:rsid w:val="001D4515"/>
    <w:rsid w:val="001D7757"/>
    <w:rsid w:val="001E174B"/>
    <w:rsid w:val="001F1FB1"/>
    <w:rsid w:val="001F69F7"/>
    <w:rsid w:val="002028EB"/>
    <w:rsid w:val="00204093"/>
    <w:rsid w:val="00214CDF"/>
    <w:rsid w:val="00216EB0"/>
    <w:rsid w:val="002204E9"/>
    <w:rsid w:val="0022186F"/>
    <w:rsid w:val="00226D94"/>
    <w:rsid w:val="002308AE"/>
    <w:rsid w:val="00236A8D"/>
    <w:rsid w:val="0024394D"/>
    <w:rsid w:val="002557A3"/>
    <w:rsid w:val="002674BC"/>
    <w:rsid w:val="0027047B"/>
    <w:rsid w:val="00274622"/>
    <w:rsid w:val="00276E8C"/>
    <w:rsid w:val="0027705C"/>
    <w:rsid w:val="0028402D"/>
    <w:rsid w:val="002936F3"/>
    <w:rsid w:val="00294D2A"/>
    <w:rsid w:val="002A10E3"/>
    <w:rsid w:val="002A606B"/>
    <w:rsid w:val="002A64CF"/>
    <w:rsid w:val="002B2636"/>
    <w:rsid w:val="002B5C0E"/>
    <w:rsid w:val="002C0B8C"/>
    <w:rsid w:val="002C1365"/>
    <w:rsid w:val="002C6786"/>
    <w:rsid w:val="002C765F"/>
    <w:rsid w:val="002D7F19"/>
    <w:rsid w:val="002E1486"/>
    <w:rsid w:val="002E22BE"/>
    <w:rsid w:val="002E5CB0"/>
    <w:rsid w:val="002F297B"/>
    <w:rsid w:val="002F29E6"/>
    <w:rsid w:val="002F730A"/>
    <w:rsid w:val="0030723B"/>
    <w:rsid w:val="00307EDA"/>
    <w:rsid w:val="00310D20"/>
    <w:rsid w:val="003138EC"/>
    <w:rsid w:val="00315918"/>
    <w:rsid w:val="00315C7B"/>
    <w:rsid w:val="00322F86"/>
    <w:rsid w:val="0032362F"/>
    <w:rsid w:val="00323BB9"/>
    <w:rsid w:val="00327DD0"/>
    <w:rsid w:val="0033376A"/>
    <w:rsid w:val="00334299"/>
    <w:rsid w:val="00335A5E"/>
    <w:rsid w:val="00336B30"/>
    <w:rsid w:val="00342F18"/>
    <w:rsid w:val="00344C17"/>
    <w:rsid w:val="00346CC2"/>
    <w:rsid w:val="003479E4"/>
    <w:rsid w:val="003503D7"/>
    <w:rsid w:val="003557FC"/>
    <w:rsid w:val="003601DA"/>
    <w:rsid w:val="003630F6"/>
    <w:rsid w:val="00366999"/>
    <w:rsid w:val="00373EEB"/>
    <w:rsid w:val="00373F15"/>
    <w:rsid w:val="003741AF"/>
    <w:rsid w:val="003743B0"/>
    <w:rsid w:val="00375FFD"/>
    <w:rsid w:val="00376E99"/>
    <w:rsid w:val="00377ADD"/>
    <w:rsid w:val="00381404"/>
    <w:rsid w:val="003906AE"/>
    <w:rsid w:val="003939DC"/>
    <w:rsid w:val="00395D08"/>
    <w:rsid w:val="00397B70"/>
    <w:rsid w:val="003A7755"/>
    <w:rsid w:val="003A7B00"/>
    <w:rsid w:val="003C379A"/>
    <w:rsid w:val="003D1D4B"/>
    <w:rsid w:val="003D2AEE"/>
    <w:rsid w:val="003D3613"/>
    <w:rsid w:val="003D4708"/>
    <w:rsid w:val="003D647B"/>
    <w:rsid w:val="003D6954"/>
    <w:rsid w:val="003E0879"/>
    <w:rsid w:val="003E3FB5"/>
    <w:rsid w:val="003F0EFC"/>
    <w:rsid w:val="003F1005"/>
    <w:rsid w:val="003F239D"/>
    <w:rsid w:val="003F3A01"/>
    <w:rsid w:val="003F681C"/>
    <w:rsid w:val="00406C2B"/>
    <w:rsid w:val="00407FD6"/>
    <w:rsid w:val="00411498"/>
    <w:rsid w:val="00413056"/>
    <w:rsid w:val="00414335"/>
    <w:rsid w:val="00416B46"/>
    <w:rsid w:val="004205B4"/>
    <w:rsid w:val="00422A52"/>
    <w:rsid w:val="00441AFE"/>
    <w:rsid w:val="0044261B"/>
    <w:rsid w:val="00442CA8"/>
    <w:rsid w:val="004449F1"/>
    <w:rsid w:val="00447B1E"/>
    <w:rsid w:val="00456FC3"/>
    <w:rsid w:val="00464C30"/>
    <w:rsid w:val="00481465"/>
    <w:rsid w:val="004816F4"/>
    <w:rsid w:val="00482718"/>
    <w:rsid w:val="00485A21"/>
    <w:rsid w:val="00485AED"/>
    <w:rsid w:val="0048602E"/>
    <w:rsid w:val="004927FE"/>
    <w:rsid w:val="00496D81"/>
    <w:rsid w:val="0049792C"/>
    <w:rsid w:val="004A0982"/>
    <w:rsid w:val="004B23BA"/>
    <w:rsid w:val="004B31A0"/>
    <w:rsid w:val="004B41A5"/>
    <w:rsid w:val="004B7F06"/>
    <w:rsid w:val="004C1B8A"/>
    <w:rsid w:val="004D3FDF"/>
    <w:rsid w:val="004E24B6"/>
    <w:rsid w:val="004E4EEA"/>
    <w:rsid w:val="004E6DE7"/>
    <w:rsid w:val="004E781E"/>
    <w:rsid w:val="004F2793"/>
    <w:rsid w:val="004F27C2"/>
    <w:rsid w:val="004F67D5"/>
    <w:rsid w:val="00501FA8"/>
    <w:rsid w:val="0050290D"/>
    <w:rsid w:val="0050407F"/>
    <w:rsid w:val="005043DF"/>
    <w:rsid w:val="00517127"/>
    <w:rsid w:val="0052138F"/>
    <w:rsid w:val="005237E7"/>
    <w:rsid w:val="00523938"/>
    <w:rsid w:val="005248C6"/>
    <w:rsid w:val="005318C6"/>
    <w:rsid w:val="00540594"/>
    <w:rsid w:val="005548F1"/>
    <w:rsid w:val="0055528C"/>
    <w:rsid w:val="00555F6D"/>
    <w:rsid w:val="005624DB"/>
    <w:rsid w:val="00565858"/>
    <w:rsid w:val="00566132"/>
    <w:rsid w:val="005677F1"/>
    <w:rsid w:val="00570854"/>
    <w:rsid w:val="00570A77"/>
    <w:rsid w:val="00575DB1"/>
    <w:rsid w:val="00580D02"/>
    <w:rsid w:val="00582812"/>
    <w:rsid w:val="00590301"/>
    <w:rsid w:val="005A2DA7"/>
    <w:rsid w:val="005B29BC"/>
    <w:rsid w:val="005C5B5D"/>
    <w:rsid w:val="005C7B75"/>
    <w:rsid w:val="005D0A55"/>
    <w:rsid w:val="005D12EB"/>
    <w:rsid w:val="005D1FBF"/>
    <w:rsid w:val="005D7A39"/>
    <w:rsid w:val="005D7AB7"/>
    <w:rsid w:val="005E0F31"/>
    <w:rsid w:val="005E7E4A"/>
    <w:rsid w:val="005F34F3"/>
    <w:rsid w:val="005F61B9"/>
    <w:rsid w:val="005F6400"/>
    <w:rsid w:val="005F6B31"/>
    <w:rsid w:val="00601506"/>
    <w:rsid w:val="00606F85"/>
    <w:rsid w:val="0060789C"/>
    <w:rsid w:val="00614363"/>
    <w:rsid w:val="006162D0"/>
    <w:rsid w:val="006224B5"/>
    <w:rsid w:val="006263F3"/>
    <w:rsid w:val="00627375"/>
    <w:rsid w:val="00630195"/>
    <w:rsid w:val="006452C7"/>
    <w:rsid w:val="00651B1A"/>
    <w:rsid w:val="00653114"/>
    <w:rsid w:val="00654450"/>
    <w:rsid w:val="00655836"/>
    <w:rsid w:val="00661DC5"/>
    <w:rsid w:val="0066268B"/>
    <w:rsid w:val="006649CE"/>
    <w:rsid w:val="00672499"/>
    <w:rsid w:val="0067323F"/>
    <w:rsid w:val="00677D16"/>
    <w:rsid w:val="00683BFD"/>
    <w:rsid w:val="0068450C"/>
    <w:rsid w:val="00690DFE"/>
    <w:rsid w:val="00691F16"/>
    <w:rsid w:val="00694E63"/>
    <w:rsid w:val="00697D08"/>
    <w:rsid w:val="006A0783"/>
    <w:rsid w:val="006A1F6D"/>
    <w:rsid w:val="006A39CA"/>
    <w:rsid w:val="006B0A98"/>
    <w:rsid w:val="006B23A1"/>
    <w:rsid w:val="006B34EE"/>
    <w:rsid w:val="006C2589"/>
    <w:rsid w:val="006C2726"/>
    <w:rsid w:val="006C5111"/>
    <w:rsid w:val="006D0039"/>
    <w:rsid w:val="006D2796"/>
    <w:rsid w:val="006D2992"/>
    <w:rsid w:val="006D35B1"/>
    <w:rsid w:val="006D4058"/>
    <w:rsid w:val="006D69DF"/>
    <w:rsid w:val="006D74C8"/>
    <w:rsid w:val="006E0250"/>
    <w:rsid w:val="006E0D04"/>
    <w:rsid w:val="006E510B"/>
    <w:rsid w:val="006F3663"/>
    <w:rsid w:val="006F5491"/>
    <w:rsid w:val="006F64BF"/>
    <w:rsid w:val="0070164C"/>
    <w:rsid w:val="00701D2C"/>
    <w:rsid w:val="0070773B"/>
    <w:rsid w:val="00710313"/>
    <w:rsid w:val="00711EFB"/>
    <w:rsid w:val="00712710"/>
    <w:rsid w:val="007202BD"/>
    <w:rsid w:val="00724392"/>
    <w:rsid w:val="007303CB"/>
    <w:rsid w:val="00732A8A"/>
    <w:rsid w:val="0073493F"/>
    <w:rsid w:val="00737028"/>
    <w:rsid w:val="0074045A"/>
    <w:rsid w:val="00741586"/>
    <w:rsid w:val="00741D8F"/>
    <w:rsid w:val="00746A82"/>
    <w:rsid w:val="00756673"/>
    <w:rsid w:val="00762925"/>
    <w:rsid w:val="00764074"/>
    <w:rsid w:val="00765DB0"/>
    <w:rsid w:val="00770120"/>
    <w:rsid w:val="007771F4"/>
    <w:rsid w:val="00780298"/>
    <w:rsid w:val="00782A8F"/>
    <w:rsid w:val="0078347E"/>
    <w:rsid w:val="007839C6"/>
    <w:rsid w:val="00792692"/>
    <w:rsid w:val="007936C0"/>
    <w:rsid w:val="007953C3"/>
    <w:rsid w:val="007A1841"/>
    <w:rsid w:val="007B101D"/>
    <w:rsid w:val="007B2F04"/>
    <w:rsid w:val="007B4A9B"/>
    <w:rsid w:val="007B615D"/>
    <w:rsid w:val="007B667E"/>
    <w:rsid w:val="007C4142"/>
    <w:rsid w:val="007D06CD"/>
    <w:rsid w:val="007D1380"/>
    <w:rsid w:val="007D5A92"/>
    <w:rsid w:val="007D69B0"/>
    <w:rsid w:val="007E7F7E"/>
    <w:rsid w:val="007F1162"/>
    <w:rsid w:val="007F3AC0"/>
    <w:rsid w:val="007F44EC"/>
    <w:rsid w:val="007F686E"/>
    <w:rsid w:val="007F6C17"/>
    <w:rsid w:val="008018D9"/>
    <w:rsid w:val="008042BF"/>
    <w:rsid w:val="00805A63"/>
    <w:rsid w:val="00805B86"/>
    <w:rsid w:val="00810FD1"/>
    <w:rsid w:val="00811150"/>
    <w:rsid w:val="00813BB8"/>
    <w:rsid w:val="008173D5"/>
    <w:rsid w:val="008203F0"/>
    <w:rsid w:val="00820934"/>
    <w:rsid w:val="008238C9"/>
    <w:rsid w:val="00827810"/>
    <w:rsid w:val="00843955"/>
    <w:rsid w:val="00845653"/>
    <w:rsid w:val="00847D82"/>
    <w:rsid w:val="0085005D"/>
    <w:rsid w:val="008608B6"/>
    <w:rsid w:val="0087410E"/>
    <w:rsid w:val="00874197"/>
    <w:rsid w:val="0087476E"/>
    <w:rsid w:val="0087676A"/>
    <w:rsid w:val="008867AF"/>
    <w:rsid w:val="008909D0"/>
    <w:rsid w:val="00893E7C"/>
    <w:rsid w:val="00895173"/>
    <w:rsid w:val="008952AC"/>
    <w:rsid w:val="008964F7"/>
    <w:rsid w:val="00897FE7"/>
    <w:rsid w:val="008A0469"/>
    <w:rsid w:val="008A13A4"/>
    <w:rsid w:val="008A3843"/>
    <w:rsid w:val="008A5BA7"/>
    <w:rsid w:val="008B63B6"/>
    <w:rsid w:val="008C3867"/>
    <w:rsid w:val="008D70C2"/>
    <w:rsid w:val="008E0A62"/>
    <w:rsid w:val="008E7387"/>
    <w:rsid w:val="008F2069"/>
    <w:rsid w:val="008F3B9E"/>
    <w:rsid w:val="008F67BC"/>
    <w:rsid w:val="00900D5A"/>
    <w:rsid w:val="00903A02"/>
    <w:rsid w:val="00912D68"/>
    <w:rsid w:val="009173D2"/>
    <w:rsid w:val="009220C8"/>
    <w:rsid w:val="009230EA"/>
    <w:rsid w:val="0092421D"/>
    <w:rsid w:val="009247C9"/>
    <w:rsid w:val="00925AF5"/>
    <w:rsid w:val="0093370C"/>
    <w:rsid w:val="00935721"/>
    <w:rsid w:val="009503C9"/>
    <w:rsid w:val="0095241B"/>
    <w:rsid w:val="00952AF1"/>
    <w:rsid w:val="00955614"/>
    <w:rsid w:val="0095783C"/>
    <w:rsid w:val="009601F6"/>
    <w:rsid w:val="00965503"/>
    <w:rsid w:val="009700CE"/>
    <w:rsid w:val="0097468B"/>
    <w:rsid w:val="00975DEC"/>
    <w:rsid w:val="00976063"/>
    <w:rsid w:val="00976289"/>
    <w:rsid w:val="00981E89"/>
    <w:rsid w:val="00984E75"/>
    <w:rsid w:val="00990B90"/>
    <w:rsid w:val="00992E61"/>
    <w:rsid w:val="00993ADC"/>
    <w:rsid w:val="00997BFC"/>
    <w:rsid w:val="00997D2B"/>
    <w:rsid w:val="009B7DBB"/>
    <w:rsid w:val="009C2A26"/>
    <w:rsid w:val="009C3E8C"/>
    <w:rsid w:val="009C41D9"/>
    <w:rsid w:val="009C6931"/>
    <w:rsid w:val="009C7AE6"/>
    <w:rsid w:val="009D4771"/>
    <w:rsid w:val="009D493E"/>
    <w:rsid w:val="009D67DA"/>
    <w:rsid w:val="009D7DE2"/>
    <w:rsid w:val="009E1139"/>
    <w:rsid w:val="009E25E3"/>
    <w:rsid w:val="009E5350"/>
    <w:rsid w:val="00A02526"/>
    <w:rsid w:val="00A043A7"/>
    <w:rsid w:val="00A04C3B"/>
    <w:rsid w:val="00A06B19"/>
    <w:rsid w:val="00A07B51"/>
    <w:rsid w:val="00A12338"/>
    <w:rsid w:val="00A12A01"/>
    <w:rsid w:val="00A15B44"/>
    <w:rsid w:val="00A22494"/>
    <w:rsid w:val="00A24F5F"/>
    <w:rsid w:val="00A25D8F"/>
    <w:rsid w:val="00A47ADF"/>
    <w:rsid w:val="00A53D31"/>
    <w:rsid w:val="00A644B3"/>
    <w:rsid w:val="00A67D90"/>
    <w:rsid w:val="00A7167C"/>
    <w:rsid w:val="00A71809"/>
    <w:rsid w:val="00A73DCB"/>
    <w:rsid w:val="00A8322B"/>
    <w:rsid w:val="00A8348A"/>
    <w:rsid w:val="00A85172"/>
    <w:rsid w:val="00A853A8"/>
    <w:rsid w:val="00A86D29"/>
    <w:rsid w:val="00A86E0E"/>
    <w:rsid w:val="00A97A50"/>
    <w:rsid w:val="00AA78D2"/>
    <w:rsid w:val="00AB6FCF"/>
    <w:rsid w:val="00AC0E2C"/>
    <w:rsid w:val="00AC2C75"/>
    <w:rsid w:val="00AC2D42"/>
    <w:rsid w:val="00AC684C"/>
    <w:rsid w:val="00AC6A55"/>
    <w:rsid w:val="00AC74CC"/>
    <w:rsid w:val="00AC77FB"/>
    <w:rsid w:val="00AD08D9"/>
    <w:rsid w:val="00AD2FAD"/>
    <w:rsid w:val="00AD46D4"/>
    <w:rsid w:val="00AE49DD"/>
    <w:rsid w:val="00AE6B7A"/>
    <w:rsid w:val="00AF1699"/>
    <w:rsid w:val="00AF48DA"/>
    <w:rsid w:val="00AF5650"/>
    <w:rsid w:val="00AF594A"/>
    <w:rsid w:val="00B000B7"/>
    <w:rsid w:val="00B01A30"/>
    <w:rsid w:val="00B0240F"/>
    <w:rsid w:val="00B043E6"/>
    <w:rsid w:val="00B059C4"/>
    <w:rsid w:val="00B16C2C"/>
    <w:rsid w:val="00B227C1"/>
    <w:rsid w:val="00B340A0"/>
    <w:rsid w:val="00B3430A"/>
    <w:rsid w:val="00B34F2A"/>
    <w:rsid w:val="00B43A61"/>
    <w:rsid w:val="00B43EDA"/>
    <w:rsid w:val="00B56758"/>
    <w:rsid w:val="00B652B8"/>
    <w:rsid w:val="00B70BE2"/>
    <w:rsid w:val="00B73137"/>
    <w:rsid w:val="00B761A2"/>
    <w:rsid w:val="00B8190A"/>
    <w:rsid w:val="00B83CA5"/>
    <w:rsid w:val="00B8477B"/>
    <w:rsid w:val="00B8712D"/>
    <w:rsid w:val="00BA4A7F"/>
    <w:rsid w:val="00BB22EA"/>
    <w:rsid w:val="00BB5064"/>
    <w:rsid w:val="00BB6513"/>
    <w:rsid w:val="00BB7412"/>
    <w:rsid w:val="00BC207C"/>
    <w:rsid w:val="00BC53FE"/>
    <w:rsid w:val="00BD1DA7"/>
    <w:rsid w:val="00BD68F6"/>
    <w:rsid w:val="00BE1C26"/>
    <w:rsid w:val="00BF5AB3"/>
    <w:rsid w:val="00C02DD6"/>
    <w:rsid w:val="00C04425"/>
    <w:rsid w:val="00C05CF0"/>
    <w:rsid w:val="00C0633D"/>
    <w:rsid w:val="00C07F87"/>
    <w:rsid w:val="00C10831"/>
    <w:rsid w:val="00C11C88"/>
    <w:rsid w:val="00C15040"/>
    <w:rsid w:val="00C15D37"/>
    <w:rsid w:val="00C339E9"/>
    <w:rsid w:val="00C35F93"/>
    <w:rsid w:val="00C369C3"/>
    <w:rsid w:val="00C41D6D"/>
    <w:rsid w:val="00C44C69"/>
    <w:rsid w:val="00C52822"/>
    <w:rsid w:val="00C53B74"/>
    <w:rsid w:val="00C5567A"/>
    <w:rsid w:val="00C62264"/>
    <w:rsid w:val="00C63047"/>
    <w:rsid w:val="00C76D65"/>
    <w:rsid w:val="00C85635"/>
    <w:rsid w:val="00C87898"/>
    <w:rsid w:val="00C902E8"/>
    <w:rsid w:val="00C9277E"/>
    <w:rsid w:val="00C94FCE"/>
    <w:rsid w:val="00C9578A"/>
    <w:rsid w:val="00C95A29"/>
    <w:rsid w:val="00C9638E"/>
    <w:rsid w:val="00CB0375"/>
    <w:rsid w:val="00CC6A0F"/>
    <w:rsid w:val="00CC7D7C"/>
    <w:rsid w:val="00CC7F34"/>
    <w:rsid w:val="00CD0360"/>
    <w:rsid w:val="00CD38B0"/>
    <w:rsid w:val="00CD5B6E"/>
    <w:rsid w:val="00CE2E0D"/>
    <w:rsid w:val="00CE72F3"/>
    <w:rsid w:val="00CF0BC6"/>
    <w:rsid w:val="00CF0C77"/>
    <w:rsid w:val="00CF12BD"/>
    <w:rsid w:val="00CF77EC"/>
    <w:rsid w:val="00D05EBB"/>
    <w:rsid w:val="00D138D1"/>
    <w:rsid w:val="00D13BE5"/>
    <w:rsid w:val="00D16DCA"/>
    <w:rsid w:val="00D203DD"/>
    <w:rsid w:val="00D24B16"/>
    <w:rsid w:val="00D25AEB"/>
    <w:rsid w:val="00D30723"/>
    <w:rsid w:val="00D324B3"/>
    <w:rsid w:val="00D330C1"/>
    <w:rsid w:val="00D3393A"/>
    <w:rsid w:val="00D33A35"/>
    <w:rsid w:val="00D34530"/>
    <w:rsid w:val="00D36D2C"/>
    <w:rsid w:val="00D42454"/>
    <w:rsid w:val="00D42EFD"/>
    <w:rsid w:val="00D4527E"/>
    <w:rsid w:val="00D45572"/>
    <w:rsid w:val="00D47E77"/>
    <w:rsid w:val="00D50284"/>
    <w:rsid w:val="00D50E72"/>
    <w:rsid w:val="00D553CC"/>
    <w:rsid w:val="00D5766A"/>
    <w:rsid w:val="00D61DDF"/>
    <w:rsid w:val="00D62C2C"/>
    <w:rsid w:val="00D6542C"/>
    <w:rsid w:val="00D66C6C"/>
    <w:rsid w:val="00D704FD"/>
    <w:rsid w:val="00D71673"/>
    <w:rsid w:val="00D74A50"/>
    <w:rsid w:val="00D7721F"/>
    <w:rsid w:val="00D87A00"/>
    <w:rsid w:val="00D90D4D"/>
    <w:rsid w:val="00D92230"/>
    <w:rsid w:val="00D958DA"/>
    <w:rsid w:val="00DB0CF9"/>
    <w:rsid w:val="00DB5688"/>
    <w:rsid w:val="00DC0BC5"/>
    <w:rsid w:val="00DC422F"/>
    <w:rsid w:val="00DD1F6E"/>
    <w:rsid w:val="00DD3008"/>
    <w:rsid w:val="00DD3F2F"/>
    <w:rsid w:val="00DD5D79"/>
    <w:rsid w:val="00DE24FD"/>
    <w:rsid w:val="00DE3A32"/>
    <w:rsid w:val="00DE4C5B"/>
    <w:rsid w:val="00E01C7D"/>
    <w:rsid w:val="00E11F3F"/>
    <w:rsid w:val="00E163B0"/>
    <w:rsid w:val="00E165E2"/>
    <w:rsid w:val="00E166AB"/>
    <w:rsid w:val="00E240AC"/>
    <w:rsid w:val="00E254D0"/>
    <w:rsid w:val="00E2552D"/>
    <w:rsid w:val="00E31A75"/>
    <w:rsid w:val="00E32BFC"/>
    <w:rsid w:val="00E37030"/>
    <w:rsid w:val="00E37511"/>
    <w:rsid w:val="00E42367"/>
    <w:rsid w:val="00E42D25"/>
    <w:rsid w:val="00E43847"/>
    <w:rsid w:val="00E43F4D"/>
    <w:rsid w:val="00E44D72"/>
    <w:rsid w:val="00E5457D"/>
    <w:rsid w:val="00E55416"/>
    <w:rsid w:val="00E55E67"/>
    <w:rsid w:val="00E566C8"/>
    <w:rsid w:val="00E57A4B"/>
    <w:rsid w:val="00E57CBC"/>
    <w:rsid w:val="00E60BB3"/>
    <w:rsid w:val="00E65EF1"/>
    <w:rsid w:val="00E6642E"/>
    <w:rsid w:val="00E71FBA"/>
    <w:rsid w:val="00E73E9D"/>
    <w:rsid w:val="00E8068F"/>
    <w:rsid w:val="00E8168C"/>
    <w:rsid w:val="00E83038"/>
    <w:rsid w:val="00E83C4E"/>
    <w:rsid w:val="00E86B5D"/>
    <w:rsid w:val="00E90918"/>
    <w:rsid w:val="00E91623"/>
    <w:rsid w:val="00E92586"/>
    <w:rsid w:val="00E959A7"/>
    <w:rsid w:val="00E959B2"/>
    <w:rsid w:val="00EA1D96"/>
    <w:rsid w:val="00EA3124"/>
    <w:rsid w:val="00EA67A7"/>
    <w:rsid w:val="00EB4F0C"/>
    <w:rsid w:val="00EC218C"/>
    <w:rsid w:val="00EC23A0"/>
    <w:rsid w:val="00EC639D"/>
    <w:rsid w:val="00ED20E3"/>
    <w:rsid w:val="00ED3EFF"/>
    <w:rsid w:val="00ED5638"/>
    <w:rsid w:val="00EE4123"/>
    <w:rsid w:val="00EE69F3"/>
    <w:rsid w:val="00EE6D7E"/>
    <w:rsid w:val="00EF379F"/>
    <w:rsid w:val="00EF3AE4"/>
    <w:rsid w:val="00EF4981"/>
    <w:rsid w:val="00EF7B7A"/>
    <w:rsid w:val="00F00036"/>
    <w:rsid w:val="00F00A34"/>
    <w:rsid w:val="00F01218"/>
    <w:rsid w:val="00F023A0"/>
    <w:rsid w:val="00F04936"/>
    <w:rsid w:val="00F04CB8"/>
    <w:rsid w:val="00F0583E"/>
    <w:rsid w:val="00F10097"/>
    <w:rsid w:val="00F17936"/>
    <w:rsid w:val="00F17BAB"/>
    <w:rsid w:val="00F209BD"/>
    <w:rsid w:val="00F23579"/>
    <w:rsid w:val="00F237A5"/>
    <w:rsid w:val="00F32C1D"/>
    <w:rsid w:val="00F33E16"/>
    <w:rsid w:val="00F611F6"/>
    <w:rsid w:val="00F613AB"/>
    <w:rsid w:val="00F63446"/>
    <w:rsid w:val="00F75E00"/>
    <w:rsid w:val="00F76C36"/>
    <w:rsid w:val="00F77D6E"/>
    <w:rsid w:val="00F80CCB"/>
    <w:rsid w:val="00F81AB7"/>
    <w:rsid w:val="00F844A0"/>
    <w:rsid w:val="00F9182E"/>
    <w:rsid w:val="00F9642B"/>
    <w:rsid w:val="00FA0192"/>
    <w:rsid w:val="00FA0335"/>
    <w:rsid w:val="00FA2C34"/>
    <w:rsid w:val="00FA3643"/>
    <w:rsid w:val="00FA3C15"/>
    <w:rsid w:val="00FB04BD"/>
    <w:rsid w:val="00FB3C22"/>
    <w:rsid w:val="00FC1CFE"/>
    <w:rsid w:val="00FC1E6C"/>
    <w:rsid w:val="00FD1D82"/>
    <w:rsid w:val="00FD237A"/>
    <w:rsid w:val="00FD2DF0"/>
    <w:rsid w:val="00FD537D"/>
    <w:rsid w:val="00FD6C57"/>
    <w:rsid w:val="00FE0789"/>
    <w:rsid w:val="00FE0BE5"/>
    <w:rsid w:val="00FF20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BBD9"/>
  <w15:chartTrackingRefBased/>
  <w15:docId w15:val="{F7D0CB2D-3F04-447A-99A8-C271CBD9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A7"/>
    <w:pPr>
      <w:widowControl w:val="0"/>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A5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5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5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5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5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BA7"/>
    <w:rPr>
      <w:rFonts w:eastAsiaTheme="majorEastAsia" w:cstheme="majorBidi"/>
      <w:color w:val="272727" w:themeColor="text1" w:themeTint="D8"/>
    </w:rPr>
  </w:style>
  <w:style w:type="paragraph" w:styleId="Title">
    <w:name w:val="Title"/>
    <w:basedOn w:val="Normal"/>
    <w:next w:val="Normal"/>
    <w:link w:val="TitleChar"/>
    <w:uiPriority w:val="10"/>
    <w:qFormat/>
    <w:rsid w:val="008A5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BA7"/>
    <w:pPr>
      <w:spacing w:before="160"/>
      <w:jc w:val="center"/>
    </w:pPr>
    <w:rPr>
      <w:i/>
      <w:iCs/>
      <w:color w:val="404040" w:themeColor="text1" w:themeTint="BF"/>
    </w:rPr>
  </w:style>
  <w:style w:type="character" w:customStyle="1" w:styleId="QuoteChar">
    <w:name w:val="Quote Char"/>
    <w:basedOn w:val="DefaultParagraphFont"/>
    <w:link w:val="Quote"/>
    <w:uiPriority w:val="29"/>
    <w:rsid w:val="008A5BA7"/>
    <w:rPr>
      <w:i/>
      <w:iCs/>
      <w:color w:val="404040" w:themeColor="text1" w:themeTint="BF"/>
    </w:rPr>
  </w:style>
  <w:style w:type="paragraph" w:styleId="ListParagraph">
    <w:name w:val="List Paragraph"/>
    <w:aliases w:val="Bullet 1,Bullet Point,Bullet Points,Colorful List - Accent 11,Dot pt,F5 List Paragraph,Indicator Text,List Paragraph Char Char Char,List Paragraph1,List Paragraph2,MAIN CONTENT,No Spacing1,Normal numbered,Normal1,Numbered Para 1,normal"/>
    <w:basedOn w:val="Normal"/>
    <w:link w:val="ListParagraphChar"/>
    <w:uiPriority w:val="34"/>
    <w:qFormat/>
    <w:rsid w:val="008A5BA7"/>
    <w:pPr>
      <w:ind w:left="720"/>
      <w:contextualSpacing/>
    </w:pPr>
  </w:style>
  <w:style w:type="character" w:styleId="IntenseEmphasis">
    <w:name w:val="Intense Emphasis"/>
    <w:basedOn w:val="DefaultParagraphFont"/>
    <w:uiPriority w:val="21"/>
    <w:qFormat/>
    <w:rsid w:val="008A5BA7"/>
    <w:rPr>
      <w:i/>
      <w:iCs/>
      <w:color w:val="0F4761" w:themeColor="accent1" w:themeShade="BF"/>
    </w:rPr>
  </w:style>
  <w:style w:type="paragraph" w:styleId="IntenseQuote">
    <w:name w:val="Intense Quote"/>
    <w:basedOn w:val="Normal"/>
    <w:next w:val="Normal"/>
    <w:link w:val="IntenseQuoteChar"/>
    <w:uiPriority w:val="30"/>
    <w:qFormat/>
    <w:rsid w:val="008A5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BA7"/>
    <w:rPr>
      <w:i/>
      <w:iCs/>
      <w:color w:val="0F4761" w:themeColor="accent1" w:themeShade="BF"/>
    </w:rPr>
  </w:style>
  <w:style w:type="character" w:styleId="IntenseReference">
    <w:name w:val="Intense Reference"/>
    <w:basedOn w:val="DefaultParagraphFont"/>
    <w:uiPriority w:val="32"/>
    <w:qFormat/>
    <w:rsid w:val="008A5BA7"/>
    <w:rPr>
      <w:b/>
      <w:bCs/>
      <w:smallCaps/>
      <w:color w:val="0F4761" w:themeColor="accent1" w:themeShade="BF"/>
      <w:spacing w:val="5"/>
    </w:rPr>
  </w:style>
  <w:style w:type="paragraph" w:styleId="NormalWeb">
    <w:name w:val="Normal (Web)"/>
    <w:basedOn w:val="Normal"/>
    <w:uiPriority w:val="99"/>
    <w:unhideWhenUsed/>
    <w:rsid w:val="008A5BA7"/>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 1 Char,Bullet Point Char,Bullet Points Char,Colorful List - Accent 11 Char,Dot pt Char,F5 List Paragraph Char,Indicator Text Char,List Paragraph Char Char Char Char,List Paragraph1 Char,List Paragraph2 Char,MAIN CONTENT Char"/>
    <w:basedOn w:val="DefaultParagraphFont"/>
    <w:link w:val="ListParagraph"/>
    <w:uiPriority w:val="34"/>
    <w:locked/>
    <w:rsid w:val="008A5BA7"/>
  </w:style>
  <w:style w:type="paragraph" w:styleId="TOCHeading">
    <w:name w:val="TOC Heading"/>
    <w:basedOn w:val="Heading1"/>
    <w:next w:val="Normal"/>
    <w:uiPriority w:val="39"/>
    <w:unhideWhenUsed/>
    <w:qFormat/>
    <w:rsid w:val="003E3FB5"/>
    <w:pPr>
      <w:spacing w:before="240" w:after="0" w:line="259" w:lineRule="auto"/>
      <w:outlineLvl w:val="9"/>
    </w:pPr>
    <w:rPr>
      <w:sz w:val="32"/>
      <w:szCs w:val="32"/>
      <w:lang w:eastAsia="en-GB"/>
    </w:rPr>
  </w:style>
  <w:style w:type="paragraph" w:styleId="Header">
    <w:name w:val="header"/>
    <w:basedOn w:val="Normal"/>
    <w:link w:val="HeaderChar"/>
    <w:uiPriority w:val="99"/>
    <w:unhideWhenUsed/>
    <w:rsid w:val="003E3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FB5"/>
    <w:rPr>
      <w:kern w:val="0"/>
      <w:sz w:val="22"/>
      <w:szCs w:val="22"/>
      <w:lang w:val="en-US"/>
      <w14:ligatures w14:val="none"/>
    </w:rPr>
  </w:style>
  <w:style w:type="paragraph" w:styleId="Footer">
    <w:name w:val="footer"/>
    <w:basedOn w:val="Normal"/>
    <w:link w:val="FooterChar"/>
    <w:uiPriority w:val="99"/>
    <w:unhideWhenUsed/>
    <w:rsid w:val="003E3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FB5"/>
    <w:rPr>
      <w:kern w:val="0"/>
      <w:sz w:val="22"/>
      <w:szCs w:val="22"/>
      <w:lang w:val="en-US"/>
      <w14:ligatures w14:val="none"/>
    </w:rPr>
  </w:style>
  <w:style w:type="paragraph" w:styleId="TOC2">
    <w:name w:val="toc 2"/>
    <w:basedOn w:val="Normal"/>
    <w:next w:val="Normal"/>
    <w:autoRedefine/>
    <w:uiPriority w:val="39"/>
    <w:unhideWhenUsed/>
    <w:rsid w:val="00A12A01"/>
    <w:pPr>
      <w:spacing w:after="100"/>
      <w:ind w:left="220"/>
    </w:pPr>
  </w:style>
  <w:style w:type="character" w:styleId="Hyperlink">
    <w:name w:val="Hyperlink"/>
    <w:basedOn w:val="DefaultParagraphFont"/>
    <w:uiPriority w:val="99"/>
    <w:unhideWhenUsed/>
    <w:rsid w:val="00A12A01"/>
    <w:rPr>
      <w:color w:val="467886" w:themeColor="hyperlink"/>
      <w:u w:val="single"/>
    </w:rPr>
  </w:style>
  <w:style w:type="paragraph" w:styleId="FootnoteText">
    <w:name w:val="footnote text"/>
    <w:basedOn w:val="Normal"/>
    <w:link w:val="FootnoteTextChar"/>
    <w:uiPriority w:val="99"/>
    <w:semiHidden/>
    <w:unhideWhenUsed/>
    <w:rsid w:val="00255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7A3"/>
    <w:rPr>
      <w:kern w:val="0"/>
      <w:sz w:val="20"/>
      <w:szCs w:val="20"/>
      <w:lang w:val="en-US"/>
      <w14:ligatures w14:val="none"/>
    </w:rPr>
  </w:style>
  <w:style w:type="character" w:styleId="FootnoteReference">
    <w:name w:val="footnote reference"/>
    <w:basedOn w:val="DefaultParagraphFont"/>
    <w:uiPriority w:val="99"/>
    <w:semiHidden/>
    <w:unhideWhenUsed/>
    <w:rsid w:val="002557A3"/>
    <w:rPr>
      <w:vertAlign w:val="superscript"/>
    </w:rPr>
  </w:style>
  <w:style w:type="character" w:styleId="UnresolvedMention">
    <w:name w:val="Unresolved Mention"/>
    <w:basedOn w:val="DefaultParagraphFont"/>
    <w:uiPriority w:val="99"/>
    <w:semiHidden/>
    <w:unhideWhenUsed/>
    <w:rsid w:val="007F686E"/>
    <w:rPr>
      <w:color w:val="605E5C"/>
      <w:shd w:val="clear" w:color="auto" w:fill="E1DFDD"/>
    </w:rPr>
  </w:style>
  <w:style w:type="paragraph" w:styleId="TOC1">
    <w:name w:val="toc 1"/>
    <w:basedOn w:val="Normal"/>
    <w:next w:val="Normal"/>
    <w:autoRedefine/>
    <w:uiPriority w:val="39"/>
    <w:unhideWhenUsed/>
    <w:rsid w:val="004927FE"/>
    <w:pPr>
      <w:widowControl/>
      <w:spacing w:after="100" w:line="259" w:lineRule="auto"/>
    </w:pPr>
    <w:rPr>
      <w:rFonts w:eastAsiaTheme="minorEastAsia" w:cs="Times New Roman"/>
      <w:lang w:eastAsia="en-GB"/>
    </w:rPr>
  </w:style>
  <w:style w:type="paragraph" w:styleId="TOC3">
    <w:name w:val="toc 3"/>
    <w:basedOn w:val="Normal"/>
    <w:next w:val="Normal"/>
    <w:autoRedefine/>
    <w:uiPriority w:val="39"/>
    <w:unhideWhenUsed/>
    <w:rsid w:val="004927FE"/>
    <w:pPr>
      <w:widowControl/>
      <w:spacing w:after="100" w:line="259" w:lineRule="auto"/>
      <w:ind w:left="440"/>
    </w:pPr>
    <w:rPr>
      <w:rFonts w:eastAsiaTheme="minorEastAsia" w:cs="Times New Roman"/>
      <w:lang w:eastAsia="en-GB"/>
    </w:rPr>
  </w:style>
  <w:style w:type="character" w:styleId="PlaceholderText">
    <w:name w:val="Placeholder Text"/>
    <w:basedOn w:val="DefaultParagraphFont"/>
    <w:uiPriority w:val="99"/>
    <w:semiHidden/>
    <w:rsid w:val="00BB6513"/>
    <w:rPr>
      <w:color w:val="666666"/>
    </w:rPr>
  </w:style>
  <w:style w:type="table" w:styleId="TableGrid">
    <w:name w:val="Table Grid"/>
    <w:basedOn w:val="TableNormal"/>
    <w:uiPriority w:val="39"/>
    <w:rsid w:val="0074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E72"/>
    <w:rPr>
      <w:color w:val="96607D" w:themeColor="followedHyperlink"/>
      <w:u w:val="single"/>
    </w:rPr>
  </w:style>
  <w:style w:type="paragraph" w:styleId="Revision">
    <w:name w:val="Revision"/>
    <w:hidden/>
    <w:uiPriority w:val="99"/>
    <w:semiHidden/>
    <w:rsid w:val="004B41A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6336">
      <w:bodyDiv w:val="1"/>
      <w:marLeft w:val="0"/>
      <w:marRight w:val="0"/>
      <w:marTop w:val="0"/>
      <w:marBottom w:val="0"/>
      <w:divBdr>
        <w:top w:val="none" w:sz="0" w:space="0" w:color="auto"/>
        <w:left w:val="none" w:sz="0" w:space="0" w:color="auto"/>
        <w:bottom w:val="none" w:sz="0" w:space="0" w:color="auto"/>
        <w:right w:val="none" w:sz="0" w:space="0" w:color="auto"/>
      </w:divBdr>
    </w:div>
    <w:div w:id="582766610">
      <w:bodyDiv w:val="1"/>
      <w:marLeft w:val="0"/>
      <w:marRight w:val="0"/>
      <w:marTop w:val="0"/>
      <w:marBottom w:val="0"/>
      <w:divBdr>
        <w:top w:val="none" w:sz="0" w:space="0" w:color="auto"/>
        <w:left w:val="none" w:sz="0" w:space="0" w:color="auto"/>
        <w:bottom w:val="none" w:sz="0" w:space="0" w:color="auto"/>
        <w:right w:val="none" w:sz="0" w:space="0" w:color="auto"/>
      </w:divBdr>
    </w:div>
    <w:div w:id="607736460">
      <w:bodyDiv w:val="1"/>
      <w:marLeft w:val="0"/>
      <w:marRight w:val="0"/>
      <w:marTop w:val="0"/>
      <w:marBottom w:val="0"/>
      <w:divBdr>
        <w:top w:val="none" w:sz="0" w:space="0" w:color="auto"/>
        <w:left w:val="none" w:sz="0" w:space="0" w:color="auto"/>
        <w:bottom w:val="none" w:sz="0" w:space="0" w:color="auto"/>
        <w:right w:val="none" w:sz="0" w:space="0" w:color="auto"/>
      </w:divBdr>
    </w:div>
    <w:div w:id="608242180">
      <w:bodyDiv w:val="1"/>
      <w:marLeft w:val="0"/>
      <w:marRight w:val="0"/>
      <w:marTop w:val="0"/>
      <w:marBottom w:val="0"/>
      <w:divBdr>
        <w:top w:val="none" w:sz="0" w:space="0" w:color="auto"/>
        <w:left w:val="none" w:sz="0" w:space="0" w:color="auto"/>
        <w:bottom w:val="none" w:sz="0" w:space="0" w:color="auto"/>
        <w:right w:val="none" w:sz="0" w:space="0" w:color="auto"/>
      </w:divBdr>
    </w:div>
    <w:div w:id="890383253">
      <w:bodyDiv w:val="1"/>
      <w:marLeft w:val="0"/>
      <w:marRight w:val="0"/>
      <w:marTop w:val="0"/>
      <w:marBottom w:val="0"/>
      <w:divBdr>
        <w:top w:val="none" w:sz="0" w:space="0" w:color="auto"/>
        <w:left w:val="none" w:sz="0" w:space="0" w:color="auto"/>
        <w:bottom w:val="none" w:sz="0" w:space="0" w:color="auto"/>
        <w:right w:val="none" w:sz="0" w:space="0" w:color="auto"/>
      </w:divBdr>
    </w:div>
    <w:div w:id="932318068">
      <w:bodyDiv w:val="1"/>
      <w:marLeft w:val="0"/>
      <w:marRight w:val="0"/>
      <w:marTop w:val="0"/>
      <w:marBottom w:val="0"/>
      <w:divBdr>
        <w:top w:val="none" w:sz="0" w:space="0" w:color="auto"/>
        <w:left w:val="none" w:sz="0" w:space="0" w:color="auto"/>
        <w:bottom w:val="none" w:sz="0" w:space="0" w:color="auto"/>
        <w:right w:val="none" w:sz="0" w:space="0" w:color="auto"/>
      </w:divBdr>
    </w:div>
    <w:div w:id="1132599662">
      <w:bodyDiv w:val="1"/>
      <w:marLeft w:val="0"/>
      <w:marRight w:val="0"/>
      <w:marTop w:val="0"/>
      <w:marBottom w:val="0"/>
      <w:divBdr>
        <w:top w:val="none" w:sz="0" w:space="0" w:color="auto"/>
        <w:left w:val="none" w:sz="0" w:space="0" w:color="auto"/>
        <w:bottom w:val="none" w:sz="0" w:space="0" w:color="auto"/>
        <w:right w:val="none" w:sz="0" w:space="0" w:color="auto"/>
      </w:divBdr>
    </w:div>
    <w:div w:id="1228608384">
      <w:bodyDiv w:val="1"/>
      <w:marLeft w:val="0"/>
      <w:marRight w:val="0"/>
      <w:marTop w:val="0"/>
      <w:marBottom w:val="0"/>
      <w:divBdr>
        <w:top w:val="none" w:sz="0" w:space="0" w:color="auto"/>
        <w:left w:val="none" w:sz="0" w:space="0" w:color="auto"/>
        <w:bottom w:val="none" w:sz="0" w:space="0" w:color="auto"/>
        <w:right w:val="none" w:sz="0" w:space="0" w:color="auto"/>
      </w:divBdr>
    </w:div>
    <w:div w:id="1584684793">
      <w:bodyDiv w:val="1"/>
      <w:marLeft w:val="0"/>
      <w:marRight w:val="0"/>
      <w:marTop w:val="0"/>
      <w:marBottom w:val="0"/>
      <w:divBdr>
        <w:top w:val="none" w:sz="0" w:space="0" w:color="auto"/>
        <w:left w:val="none" w:sz="0" w:space="0" w:color="auto"/>
        <w:bottom w:val="none" w:sz="0" w:space="0" w:color="auto"/>
        <w:right w:val="none" w:sz="0" w:space="0" w:color="auto"/>
      </w:divBdr>
    </w:div>
    <w:div w:id="1627464987">
      <w:bodyDiv w:val="1"/>
      <w:marLeft w:val="0"/>
      <w:marRight w:val="0"/>
      <w:marTop w:val="0"/>
      <w:marBottom w:val="0"/>
      <w:divBdr>
        <w:top w:val="none" w:sz="0" w:space="0" w:color="auto"/>
        <w:left w:val="none" w:sz="0" w:space="0" w:color="auto"/>
        <w:bottom w:val="none" w:sz="0" w:space="0" w:color="auto"/>
        <w:right w:val="none" w:sz="0" w:space="0" w:color="auto"/>
      </w:divBdr>
    </w:div>
    <w:div w:id="1921910473">
      <w:bodyDiv w:val="1"/>
      <w:marLeft w:val="0"/>
      <w:marRight w:val="0"/>
      <w:marTop w:val="0"/>
      <w:marBottom w:val="0"/>
      <w:divBdr>
        <w:top w:val="none" w:sz="0" w:space="0" w:color="auto"/>
        <w:left w:val="none" w:sz="0" w:space="0" w:color="auto"/>
        <w:bottom w:val="none" w:sz="0" w:space="0" w:color="auto"/>
        <w:right w:val="none" w:sz="0" w:space="0" w:color="auto"/>
      </w:divBdr>
    </w:div>
    <w:div w:id="20685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briefings.files.parliament.uk/documents/CDP-2025-0059/CDP-2025-0059.pdf" TargetMode="External"/><Relationship Id="rId18" Type="http://schemas.openxmlformats.org/officeDocument/2006/relationships/hyperlink" Target="https://www.plymouth.ac.uk/research/institutes/health/coastal-health-outcomes" TargetMode="External"/><Relationship Id="rId26" Type="http://schemas.openxmlformats.org/officeDocument/2006/relationships/hyperlink" Target="https://nds.healthwatch.co.uk/sites/default/files/reports_library/20240708_Devon_Plymouth_Torbay_Annual%20Report%2024.pdf" TargetMode="External"/><Relationship Id="rId3" Type="http://schemas.openxmlformats.org/officeDocument/2006/relationships/styles" Target="styles.xml"/><Relationship Id="rId21" Type="http://schemas.openxmlformats.org/officeDocument/2006/relationships/hyperlink" Target="https://www.ons.gov.uk/peoplepopulationandcommunity/healthandsocialcare/healthandwellbeing/bulletins/disabilityenglandandwales/census2021" TargetMode="External"/><Relationship Id="rId7" Type="http://schemas.openxmlformats.org/officeDocument/2006/relationships/endnotes" Target="endnotes.xml"/><Relationship Id="rId12" Type="http://schemas.openxmlformats.org/officeDocument/2006/relationships/hyperlink" Target="https://pmc.ncbi.nlm.nih.gov/articles/PMC4265215/" TargetMode="External"/><Relationship Id="rId17" Type="http://schemas.openxmlformats.org/officeDocument/2006/relationships/hyperlink" Target="https://www.ons.gov.uk/peoplepopulationandcommunity/birthsdeathsandmarriages/deaths/adhocs/13540averagenumberofdeathsbymiddlelayersuperoutputareamsoaandmonthofdeathregistrationenglandandwalesdeathsregisteredin2015to2019" TargetMode="External"/><Relationship Id="rId25" Type="http://schemas.openxmlformats.org/officeDocument/2006/relationships/hyperlink" Target="https://healthinnovationsouthwest.com/blog/2025/05/13/closing-the-health-innovation-gap-a-rural-and-coastal-challeng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ip.uk/" TargetMode="External"/><Relationship Id="rId20" Type="http://schemas.openxmlformats.org/officeDocument/2006/relationships/hyperlink" Target="https://www.ons.gov.uk/peoplepopulationandcommunity/populationandmigration/populationprojections" TargetMode="External"/><Relationship Id="rId29" Type="http://schemas.openxmlformats.org/officeDocument/2006/relationships/hyperlink" Target="https://www.torbay.gov.uk/DemocraticServices/documents/s153368/JSNA_2024_25_v2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0f98769e90e0703ba3c9f25/cmo-annual_report-2021-health-in-coastal-communities-summary-and-recommendations-accessible.pdf" TargetMode="External"/><Relationship Id="rId24" Type="http://schemas.openxmlformats.org/officeDocument/2006/relationships/hyperlink" Target="https://www.somersetintelligence.org.uk/files/Somerset%20Drug%20and%20Alcohol%20Needs%20Assessment%202022.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bi.uk.com/coastalnavigtorsnetwork/" TargetMode="External"/><Relationship Id="rId23" Type="http://schemas.openxmlformats.org/officeDocument/2006/relationships/hyperlink" Target="https://www.torbay.gov.uk/democraticservices/documents/s134563/22_184_PHAR%20final.pdf" TargetMode="External"/><Relationship Id="rId28" Type="http://schemas.openxmlformats.org/officeDocument/2006/relationships/hyperlink" Target="https://www.torbay.gov.uk/DemocraticServices/documents/s160020/Allocation%20of%20Higher%20Needs%20Provision%20Capital%20Allocation%202025%2026%20EIA.pdf" TargetMode="External"/><Relationship Id="rId10" Type="http://schemas.openxmlformats.org/officeDocument/2006/relationships/hyperlink" Target="https://www.gov.uk/government/publications/road-to-recovery-the-governments-2025-mandate-to-nhs-england/road-to-recovery-the-governments-2025-mandate-to-nhs-england" TargetMode="External"/><Relationship Id="rId19" Type="http://schemas.openxmlformats.org/officeDocument/2006/relationships/hyperlink" Target="https://www.gov.uk/government/publications/chief-medical-officers-annual-report-2023-health-in-an-ageing-societ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lymouth.ac.uk/news/digital-exclusion-is-leaving-coastal-communities-behind" TargetMode="External"/><Relationship Id="rId22" Type="http://schemas.openxmlformats.org/officeDocument/2006/relationships/hyperlink" Target="https://pubmed.ncbi.nlm.nih.gov/35441193/" TargetMode="External"/><Relationship Id="rId27" Type="http://schemas.openxmlformats.org/officeDocument/2006/relationships/hyperlink" Target="https://www.torbay.gov.uk/council/policies/community-safety/housing-strategy-evidence-base-2023/" TargetMode="External"/><Relationship Id="rId30" Type="http://schemas.openxmlformats.org/officeDocument/2006/relationships/hyperlink" Target="https://www.swsenate.nhs.uk/"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adhocs/13540averagenumberofdeathsbymiddlelayersuperoutputareamsoaandmonthofdeathregistrationenglandandwalesdeathsregisteredin2015to2019" TargetMode="External"/><Relationship Id="rId13" Type="http://schemas.openxmlformats.org/officeDocument/2006/relationships/hyperlink" Target="https://pubmed.ncbi.nlm.nih.gov/35441193/" TargetMode="External"/><Relationship Id="rId18" Type="http://schemas.openxmlformats.org/officeDocument/2006/relationships/hyperlink" Target="https://www.torbay.gov.uk/council/policies/community-safety/housing-strategy-evidence-base-2023/" TargetMode="External"/><Relationship Id="rId3" Type="http://schemas.openxmlformats.org/officeDocument/2006/relationships/hyperlink" Target="https://pmc.ncbi.nlm.nih.gov/articles/PMC4265215/" TargetMode="External"/><Relationship Id="rId7" Type="http://schemas.openxmlformats.org/officeDocument/2006/relationships/hyperlink" Target="https://prip.uk/" TargetMode="External"/><Relationship Id="rId12" Type="http://schemas.openxmlformats.org/officeDocument/2006/relationships/hyperlink" Target="https://www.ons.gov.uk/peoplepopulationandcommunity/healthandsocialcare/healthandwellbeing/bulletins/disabilityenglandandwales/census2021" TargetMode="External"/><Relationship Id="rId17" Type="http://schemas.openxmlformats.org/officeDocument/2006/relationships/hyperlink" Target="https://nds.healthwatch.co.uk/sites/default/files/reports_library/20240708_Devon_Plymouth_Torbay_Annual%20Report%2024.pdf" TargetMode="External"/><Relationship Id="rId2" Type="http://schemas.openxmlformats.org/officeDocument/2006/relationships/hyperlink" Target="https://assets.publishing.service.gov.uk/media/60f98769e90e0703ba3c9f25/cmo-annual_report-2021-health-in-coastal-communities-summary-and-recommendations-accessible.pdf" TargetMode="External"/><Relationship Id="rId16" Type="http://schemas.openxmlformats.org/officeDocument/2006/relationships/hyperlink" Target="https://healthinnovationsouthwest.com/blog/2025/05/13/closing-the-health-innovation-gap-a-rural-and-coastal-challenge/" TargetMode="External"/><Relationship Id="rId20" Type="http://schemas.openxmlformats.org/officeDocument/2006/relationships/hyperlink" Target="https://www.torbay.gov.uk/DemocraticServices/documents/s153368/JSNA_2024_25_v2_FINAL.pdf" TargetMode="External"/><Relationship Id="rId1" Type="http://schemas.openxmlformats.org/officeDocument/2006/relationships/hyperlink" Target="https://www.gov.uk/government/publications/road-to-recovery-the-governments-2025-mandate-to-nhs-england/road-to-recovery-the-governments-2025-mandate-to-nhs-england" TargetMode="External"/><Relationship Id="rId6" Type="http://schemas.openxmlformats.org/officeDocument/2006/relationships/hyperlink" Target="https://bbi.uk.com/coastalnavigtorsnetwork/" TargetMode="External"/><Relationship Id="rId11" Type="http://schemas.openxmlformats.org/officeDocument/2006/relationships/hyperlink" Target="https://www.ons.gov.uk/peoplepopulationandcommunity/populationandmigration/populationprojections" TargetMode="External"/><Relationship Id="rId5" Type="http://schemas.openxmlformats.org/officeDocument/2006/relationships/hyperlink" Target="https://www.plymouth.ac.uk/news/digital-exclusion-is-leaving-coastal-communities-behind" TargetMode="External"/><Relationship Id="rId15" Type="http://schemas.openxmlformats.org/officeDocument/2006/relationships/hyperlink" Target="https://www.somersetintelligence.org.uk/files/Somerset%20Drug%20and%20Alcohol%20Needs%20Assessment%202022.pdf" TargetMode="External"/><Relationship Id="rId10" Type="http://schemas.openxmlformats.org/officeDocument/2006/relationships/hyperlink" Target="https://www.gov.uk/government/publications/chief-medical-officers-annual-report-2023-health-in-an-ageing-society" TargetMode="External"/><Relationship Id="rId19" Type="http://schemas.openxmlformats.org/officeDocument/2006/relationships/hyperlink" Target="https://www.torbay.gov.uk/DemocraticServices/documents/s160020/Allocation%20of%20Higher%20Needs%20Provision%20Capital%20Allocation%202025%2026%20EIA.pdf" TargetMode="External"/><Relationship Id="rId4" Type="http://schemas.openxmlformats.org/officeDocument/2006/relationships/hyperlink" Target="https://researchbriefings.files.parliament.uk/documents/CDP-2025-0059/CDP-2025-0059.pdf" TargetMode="External"/><Relationship Id="rId9" Type="http://schemas.openxmlformats.org/officeDocument/2006/relationships/hyperlink" Target="https://www.plymouth.ac.uk/research/institutes/health/coastal-health-outcomes" TargetMode="External"/><Relationship Id="rId14" Type="http://schemas.openxmlformats.org/officeDocument/2006/relationships/hyperlink" Target="https://www.torbay.gov.uk/democraticservices/documents/s134563/22_184_PHAR%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E4F9-3AA4-42C0-B618-AC31D240C3F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5591</Words>
  <Characters>31869</Characters>
  <Application>Microsoft Office Word</Application>
  <DocSecurity>8</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FICAROTTA, Natasha (NHS ENGLAND)</dc:creator>
  <cp:keywords/>
  <dc:description/>
  <cp:lastModifiedBy>FICAROTTA, Natasha (NHS ENGLAND)</cp:lastModifiedBy>
  <cp:revision>27</cp:revision>
  <dcterms:created xsi:type="dcterms:W3CDTF">2025-07-15T09:48:00Z</dcterms:created>
  <dcterms:modified xsi:type="dcterms:W3CDTF">2025-09-16T12:13:00Z</dcterms:modified>
</cp:coreProperties>
</file>