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AB78" w14:textId="18CE5405" w:rsidR="00720FB3" w:rsidRPr="00C801C1" w:rsidRDefault="00720FB3" w:rsidP="00720FB3">
      <w:pPr>
        <w:jc w:val="center"/>
        <w:rPr>
          <w:rFonts w:asciiTheme="minorBidi" w:eastAsia="Arial" w:hAnsiTheme="minorBidi"/>
          <w:b/>
          <w:i/>
          <w:iCs/>
          <w:sz w:val="28"/>
          <w:szCs w:val="28"/>
        </w:rPr>
      </w:pPr>
      <w:r w:rsidRPr="00C801C1">
        <w:rPr>
          <w:rFonts w:asciiTheme="minorBidi" w:eastAsia="Arial" w:hAnsiTheme="minorBidi"/>
          <w:b/>
          <w:sz w:val="28"/>
          <w:szCs w:val="28"/>
        </w:rPr>
        <w:t>SW Clinical Senate Council</w:t>
      </w:r>
      <w:r w:rsidR="00096A62" w:rsidRPr="00C801C1">
        <w:rPr>
          <w:rFonts w:asciiTheme="minorBidi" w:eastAsia="Arial" w:hAnsiTheme="minorBidi"/>
          <w:b/>
          <w:sz w:val="28"/>
          <w:szCs w:val="28"/>
        </w:rPr>
        <w:t xml:space="preserve"> Meeting</w:t>
      </w:r>
      <w:r w:rsidR="00096A62" w:rsidRPr="00C801C1">
        <w:rPr>
          <w:rFonts w:asciiTheme="minorBidi" w:eastAsia="Arial" w:hAnsiTheme="minorBidi"/>
          <w:b/>
          <w:sz w:val="28"/>
          <w:szCs w:val="28"/>
        </w:rPr>
        <w:br/>
      </w:r>
      <w:r w:rsidR="00096A62" w:rsidRPr="00C801C1">
        <w:rPr>
          <w:rFonts w:asciiTheme="minorBidi" w:eastAsia="Arial" w:hAnsiTheme="minorBidi"/>
          <w:b/>
          <w:i/>
          <w:iCs/>
          <w:sz w:val="28"/>
          <w:szCs w:val="28"/>
        </w:rPr>
        <w:t>Fit for the Future: What the 10-Year Plan means for the Clinical Senate?</w:t>
      </w:r>
    </w:p>
    <w:p w14:paraId="67DD0C3E" w14:textId="77777777" w:rsidR="00096A62" w:rsidRPr="00C801C1" w:rsidRDefault="00096A62" w:rsidP="00720FB3">
      <w:pPr>
        <w:jc w:val="center"/>
        <w:rPr>
          <w:rFonts w:asciiTheme="minorBidi" w:eastAsia="Arial" w:hAnsiTheme="minorBidi"/>
          <w:b/>
          <w:i/>
          <w:iCs/>
          <w:sz w:val="28"/>
          <w:szCs w:val="28"/>
        </w:rPr>
      </w:pPr>
    </w:p>
    <w:p w14:paraId="041BB694" w14:textId="2FABD01E" w:rsidR="00720FB3" w:rsidRPr="00C801C1" w:rsidRDefault="00096A62" w:rsidP="00177129">
      <w:pPr>
        <w:jc w:val="center"/>
        <w:rPr>
          <w:rFonts w:asciiTheme="minorBidi" w:hAnsiTheme="minorBidi"/>
          <w:b/>
          <w:bCs/>
        </w:rPr>
      </w:pPr>
      <w:r w:rsidRPr="00C801C1">
        <w:rPr>
          <w:rFonts w:asciiTheme="minorBidi" w:hAnsiTheme="minorBidi"/>
          <w:b/>
          <w:bCs/>
        </w:rPr>
        <w:t>Wednesday 16 July 2025</w:t>
      </w:r>
      <w:r w:rsidRPr="00C801C1">
        <w:rPr>
          <w:rFonts w:asciiTheme="minorBidi" w:hAnsiTheme="minorBidi"/>
          <w:b/>
          <w:bCs/>
        </w:rPr>
        <w:br/>
        <w:t>Virtual MS Teams Meeting</w:t>
      </w:r>
      <w:r w:rsidRPr="00C801C1">
        <w:rPr>
          <w:rFonts w:asciiTheme="minorBidi" w:hAnsiTheme="minorBidi"/>
          <w:b/>
          <w:bCs/>
        </w:rPr>
        <w:br/>
        <w:t>Chair: Dr Marion Andrews-Evans BEM</w:t>
      </w:r>
      <w:r w:rsidRPr="00C801C1">
        <w:rPr>
          <w:rFonts w:asciiTheme="minorBidi" w:hAnsiTheme="minorBidi"/>
          <w:b/>
          <w:bCs/>
        </w:rPr>
        <w:br/>
      </w:r>
    </w:p>
    <w:p w14:paraId="16715E23" w14:textId="0624CE31" w:rsidR="004A1BE7" w:rsidRPr="00C801C1" w:rsidRDefault="009D7135" w:rsidP="001936F4">
      <w:pPr>
        <w:rPr>
          <w:rFonts w:asciiTheme="minorBidi" w:hAnsiTheme="minorBidi"/>
        </w:rPr>
      </w:pPr>
      <w:r w:rsidRPr="00C801C1">
        <w:rPr>
          <w:rFonts w:asciiTheme="minorBidi" w:hAnsiTheme="minorBidi"/>
          <w:b/>
          <w:bCs/>
        </w:rPr>
        <w:t>Attendees:</w:t>
      </w:r>
      <w:r w:rsidR="001936F4" w:rsidRPr="00C801C1">
        <w:rPr>
          <w:rFonts w:asciiTheme="minorBidi" w:hAnsiTheme="minorBidi"/>
          <w:b/>
          <w:bCs/>
        </w:rPr>
        <w:br/>
      </w:r>
      <w:r w:rsidR="00950ADE" w:rsidRPr="00C801C1">
        <w:rPr>
          <w:rFonts w:asciiTheme="minorBidi" w:hAnsiTheme="minorBidi"/>
          <w:b/>
          <w:bCs/>
        </w:rPr>
        <w:t>Chair:</w:t>
      </w:r>
      <w:r w:rsidR="00950ADE" w:rsidRPr="00C801C1">
        <w:rPr>
          <w:rFonts w:asciiTheme="minorBidi" w:hAnsiTheme="minorBidi"/>
        </w:rPr>
        <w:t xml:space="preserve"> </w:t>
      </w:r>
      <w:r w:rsidR="00D81703" w:rsidRPr="00C801C1">
        <w:rPr>
          <w:rFonts w:asciiTheme="minorBidi" w:hAnsiTheme="minorBidi"/>
        </w:rPr>
        <w:t xml:space="preserve">Dr </w:t>
      </w:r>
      <w:r w:rsidRPr="00C801C1">
        <w:rPr>
          <w:rFonts w:asciiTheme="minorBidi" w:hAnsiTheme="minorBidi"/>
        </w:rPr>
        <w:t>Marion</w:t>
      </w:r>
      <w:r w:rsidR="00CC0888" w:rsidRPr="00C801C1">
        <w:rPr>
          <w:rFonts w:asciiTheme="minorBidi" w:hAnsiTheme="minorBidi"/>
        </w:rPr>
        <w:t xml:space="preserve"> Andrews-Evans</w:t>
      </w:r>
      <w:r w:rsidR="00D81703" w:rsidRPr="00C801C1">
        <w:rPr>
          <w:rFonts w:asciiTheme="minorBidi" w:hAnsiTheme="minorBidi"/>
        </w:rPr>
        <w:t xml:space="preserve"> BEM</w:t>
      </w:r>
      <w:r w:rsidR="00377F81" w:rsidRPr="00C801C1">
        <w:rPr>
          <w:rFonts w:asciiTheme="minorBidi" w:hAnsiTheme="minorBidi"/>
        </w:rPr>
        <w:t xml:space="preserve"> (MAE)</w:t>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eastAsia="Arial" w:hAnsiTheme="minorBidi"/>
          <w:bCs/>
        </w:rPr>
        <w:t>South West Clinical Senate Chair</w:t>
      </w:r>
      <w:r w:rsidR="00D81703" w:rsidRPr="00C801C1">
        <w:rPr>
          <w:rFonts w:asciiTheme="minorBidi" w:eastAsia="Arial" w:hAnsiTheme="minorBidi"/>
          <w:bCs/>
        </w:rPr>
        <w:br/>
      </w:r>
      <w:r w:rsidR="00950ADE" w:rsidRPr="00C801C1">
        <w:rPr>
          <w:rFonts w:asciiTheme="minorBidi" w:hAnsiTheme="minorBidi"/>
          <w:b/>
          <w:bCs/>
        </w:rPr>
        <w:t>Minutes:</w:t>
      </w:r>
      <w:r w:rsidR="00950ADE" w:rsidRPr="00C801C1">
        <w:rPr>
          <w:rFonts w:asciiTheme="minorBidi" w:hAnsiTheme="minorBidi"/>
        </w:rPr>
        <w:t xml:space="preserve"> </w:t>
      </w:r>
      <w:r w:rsidR="00D81703" w:rsidRPr="00C801C1">
        <w:rPr>
          <w:rFonts w:asciiTheme="minorBidi" w:hAnsiTheme="minorBidi"/>
        </w:rPr>
        <w:t>Tasha Ficarotta</w:t>
      </w:r>
      <w:r w:rsidR="00377F81" w:rsidRPr="00C801C1">
        <w:rPr>
          <w:rFonts w:asciiTheme="minorBidi" w:hAnsiTheme="minorBidi"/>
        </w:rPr>
        <w:t xml:space="preserve"> (TF)</w:t>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hAnsiTheme="minorBidi"/>
        </w:rPr>
        <w:tab/>
        <w:t>Clinical Senate Project Support, NHS England</w:t>
      </w:r>
      <w:r w:rsidR="00D81703" w:rsidRPr="00C801C1">
        <w:rPr>
          <w:rFonts w:asciiTheme="minorBidi" w:hAnsiTheme="minorBidi"/>
        </w:rPr>
        <w:br/>
        <w:t>Fiona Baldwin</w:t>
      </w:r>
      <w:r w:rsidR="00377F81" w:rsidRPr="00C801C1">
        <w:rPr>
          <w:rFonts w:asciiTheme="minorBidi" w:hAnsiTheme="minorBidi"/>
        </w:rPr>
        <w:t xml:space="preserve"> (FB)</w:t>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hAnsiTheme="minorBidi"/>
        </w:rPr>
        <w:tab/>
      </w:r>
      <w:r w:rsidR="008A6BBF" w:rsidRPr="00C801C1">
        <w:rPr>
          <w:rFonts w:asciiTheme="minorBidi" w:hAnsiTheme="minorBidi"/>
        </w:rPr>
        <w:tab/>
      </w:r>
      <w:r w:rsidR="00D81703" w:rsidRPr="00C801C1">
        <w:rPr>
          <w:rFonts w:asciiTheme="minorBidi" w:eastAsia="Arial" w:hAnsiTheme="minorBidi"/>
          <w:bCs/>
        </w:rPr>
        <w:t>Assistant Director Clinical Programmes / Networks, NHS England</w:t>
      </w:r>
      <w:r w:rsidR="00D81703" w:rsidRPr="00C801C1">
        <w:rPr>
          <w:rFonts w:asciiTheme="minorBidi" w:eastAsia="Arial" w:hAnsiTheme="minorBidi"/>
          <w:b/>
        </w:rPr>
        <w:t xml:space="preserve"> </w:t>
      </w:r>
      <w:r w:rsidR="00D81703" w:rsidRPr="00C801C1">
        <w:rPr>
          <w:rFonts w:asciiTheme="minorBidi" w:eastAsia="Arial" w:hAnsiTheme="minorBidi"/>
          <w:bCs/>
        </w:rPr>
        <w:t>South West</w:t>
      </w:r>
      <w:r w:rsidR="000710A9" w:rsidRPr="00C801C1">
        <w:rPr>
          <w:rFonts w:asciiTheme="minorBidi" w:eastAsia="Arial" w:hAnsiTheme="minorBidi"/>
          <w:bCs/>
        </w:rPr>
        <w:br/>
      </w:r>
      <w:r w:rsidR="000710A9" w:rsidRPr="00C801C1">
        <w:rPr>
          <w:rFonts w:asciiTheme="minorBidi" w:hAnsiTheme="minorBidi"/>
        </w:rPr>
        <w:t>Lucy Cribb</w:t>
      </w:r>
      <w:r w:rsidR="00377F81" w:rsidRPr="00C801C1">
        <w:rPr>
          <w:rFonts w:asciiTheme="minorBidi" w:hAnsiTheme="minorBidi"/>
        </w:rPr>
        <w:t xml:space="preserve"> (LC)</w:t>
      </w:r>
      <w:r w:rsidR="000710A9" w:rsidRPr="00C801C1">
        <w:rPr>
          <w:rFonts w:asciiTheme="minorBidi" w:hAnsiTheme="minorBidi"/>
        </w:rPr>
        <w:tab/>
      </w:r>
      <w:r w:rsidR="000710A9" w:rsidRPr="00C801C1">
        <w:rPr>
          <w:rFonts w:asciiTheme="minorBidi" w:hAnsiTheme="minorBidi"/>
        </w:rPr>
        <w:tab/>
      </w:r>
      <w:r w:rsidR="000710A9" w:rsidRPr="00C801C1">
        <w:rPr>
          <w:rFonts w:asciiTheme="minorBidi" w:hAnsiTheme="minorBidi"/>
        </w:rPr>
        <w:tab/>
      </w:r>
      <w:r w:rsidR="000710A9" w:rsidRPr="00C801C1">
        <w:rPr>
          <w:rFonts w:asciiTheme="minorBidi" w:hAnsiTheme="minorBidi"/>
        </w:rPr>
        <w:tab/>
      </w:r>
      <w:r w:rsidR="000710A9" w:rsidRPr="00C801C1">
        <w:rPr>
          <w:rFonts w:asciiTheme="minorBidi" w:hAnsiTheme="minorBidi"/>
        </w:rPr>
        <w:tab/>
      </w:r>
      <w:r w:rsidR="000710A9" w:rsidRPr="00C801C1">
        <w:rPr>
          <w:rFonts w:asciiTheme="minorBidi" w:hAnsiTheme="minorBidi"/>
        </w:rPr>
        <w:tab/>
        <w:t>Citizens’ Assembly Representative</w:t>
      </w:r>
      <w:r w:rsidR="000710A9" w:rsidRPr="00C801C1">
        <w:rPr>
          <w:rFonts w:asciiTheme="minorBidi" w:hAnsiTheme="minorBidi"/>
        </w:rPr>
        <w:br/>
        <w:t>Marie Crofts</w:t>
      </w:r>
      <w:r w:rsidR="00377F81" w:rsidRPr="00C801C1">
        <w:rPr>
          <w:rFonts w:asciiTheme="minorBidi" w:hAnsiTheme="minorBidi"/>
        </w:rPr>
        <w:t xml:space="preserve"> (MC)</w:t>
      </w:r>
      <w:r w:rsidR="000710A9" w:rsidRPr="00C801C1">
        <w:rPr>
          <w:rFonts w:asciiTheme="minorBidi" w:hAnsiTheme="minorBidi"/>
        </w:rPr>
        <w:tab/>
      </w:r>
      <w:r w:rsidR="000710A9" w:rsidRPr="00C801C1">
        <w:rPr>
          <w:rFonts w:asciiTheme="minorBidi" w:hAnsiTheme="minorBidi"/>
        </w:rPr>
        <w:tab/>
      </w:r>
      <w:r w:rsidR="000710A9" w:rsidRPr="00C801C1">
        <w:rPr>
          <w:rFonts w:asciiTheme="minorBidi" w:hAnsiTheme="minorBidi"/>
        </w:rPr>
        <w:tab/>
      </w:r>
      <w:r w:rsidR="000710A9" w:rsidRPr="00C801C1">
        <w:rPr>
          <w:rFonts w:asciiTheme="minorBidi" w:hAnsiTheme="minorBidi"/>
        </w:rPr>
        <w:tab/>
      </w:r>
      <w:r w:rsidR="000710A9" w:rsidRPr="00C801C1">
        <w:rPr>
          <w:rFonts w:asciiTheme="minorBidi" w:hAnsiTheme="minorBidi"/>
        </w:rPr>
        <w:tab/>
      </w:r>
      <w:r w:rsidR="000710A9" w:rsidRPr="00C801C1">
        <w:rPr>
          <w:rFonts w:asciiTheme="minorBidi" w:hAnsiTheme="minorBidi"/>
        </w:rPr>
        <w:tab/>
        <w:t>Chief Nursing Officer, NHS Gloucestershire ICB</w:t>
      </w:r>
      <w:r w:rsidR="001936F4" w:rsidRPr="00C801C1">
        <w:rPr>
          <w:rFonts w:asciiTheme="minorBidi" w:hAnsiTheme="minorBidi"/>
        </w:rPr>
        <w:br/>
        <w:t>Bruce Daniel</w:t>
      </w:r>
      <w:r w:rsidR="001936F4" w:rsidRPr="00C801C1">
        <w:rPr>
          <w:rFonts w:asciiTheme="minorBidi" w:hAnsiTheme="minorBidi"/>
        </w:rPr>
        <w:tab/>
      </w:r>
      <w:r w:rsidR="00377F81" w:rsidRPr="00C801C1">
        <w:rPr>
          <w:rFonts w:asciiTheme="minorBidi" w:hAnsiTheme="minorBidi"/>
        </w:rPr>
        <w:t>(BD)</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8A6BBF" w:rsidRPr="00C801C1">
        <w:rPr>
          <w:rFonts w:asciiTheme="minorBidi" w:hAnsiTheme="minorBidi"/>
        </w:rPr>
        <w:tab/>
      </w:r>
      <w:r w:rsidR="001936F4" w:rsidRPr="00C801C1">
        <w:rPr>
          <w:rFonts w:asciiTheme="minorBidi" w:hAnsiTheme="minorBidi"/>
        </w:rPr>
        <w:t>Head of Pathology, NHS England, South West Region</w:t>
      </w:r>
      <w:r w:rsidR="001936F4" w:rsidRPr="00C801C1">
        <w:rPr>
          <w:rFonts w:asciiTheme="minorBidi" w:hAnsiTheme="minorBidi"/>
        </w:rPr>
        <w:br/>
        <w:t>Kevin Dixon</w:t>
      </w:r>
      <w:r w:rsidR="00377F81" w:rsidRPr="00C801C1">
        <w:rPr>
          <w:rFonts w:asciiTheme="minorBidi" w:hAnsiTheme="minorBidi"/>
        </w:rPr>
        <w:t xml:space="preserve"> (KD)</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eastAsia="Arial" w:hAnsiTheme="minorBidi"/>
          <w:bCs/>
          <w:color w:val="000000" w:themeColor="text1"/>
        </w:rPr>
        <w:t xml:space="preserve">Chair of Healthwatch Devon, Plymouth, Torbay / </w:t>
      </w:r>
      <w:r w:rsidR="001936F4" w:rsidRPr="00C801C1">
        <w:rPr>
          <w:rFonts w:asciiTheme="minorBidi" w:hAnsiTheme="minorBidi"/>
        </w:rPr>
        <w:t>Citizens’ Assembly Representative</w:t>
      </w:r>
      <w:r w:rsidR="001936F4" w:rsidRPr="00C801C1">
        <w:rPr>
          <w:rFonts w:asciiTheme="minorBidi" w:hAnsiTheme="minorBidi"/>
        </w:rPr>
        <w:br/>
        <w:t>Dr Giorgio Gentile</w:t>
      </w:r>
      <w:r w:rsidR="00377F81" w:rsidRPr="00C801C1">
        <w:rPr>
          <w:rFonts w:asciiTheme="minorBidi" w:hAnsiTheme="minorBidi"/>
        </w:rPr>
        <w:t xml:space="preserve"> (GG)</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Consultant Nephrologist, Royal Cornwall Hospitals NHS Trust</w:t>
      </w:r>
      <w:r w:rsidR="001936F4" w:rsidRPr="00C801C1">
        <w:rPr>
          <w:rFonts w:asciiTheme="minorBidi" w:hAnsiTheme="minorBidi"/>
        </w:rPr>
        <w:br/>
        <w:t>Jane Jacobi</w:t>
      </w:r>
      <w:r w:rsidR="00377F81" w:rsidRPr="00C801C1">
        <w:rPr>
          <w:rFonts w:asciiTheme="minorBidi" w:hAnsiTheme="minorBidi"/>
        </w:rPr>
        <w:t xml:space="preserve"> (JJ)</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Implementation Consultant, NICE Field Team</w:t>
      </w:r>
      <w:r w:rsidR="001936F4" w:rsidRPr="00C801C1">
        <w:rPr>
          <w:rFonts w:asciiTheme="minorBidi" w:hAnsiTheme="minorBidi"/>
        </w:rPr>
        <w:br/>
        <w:t>Dr Nick Kennedy</w:t>
      </w:r>
      <w:r w:rsidR="00377F81" w:rsidRPr="00C801C1">
        <w:rPr>
          <w:rFonts w:asciiTheme="minorBidi" w:hAnsiTheme="minorBidi"/>
        </w:rPr>
        <w:t xml:space="preserve"> (NK)</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Consultant Anaesthetist and Intensivist, Somerset Foundation Trust</w:t>
      </w:r>
      <w:r w:rsidR="001936F4" w:rsidRPr="00C801C1">
        <w:rPr>
          <w:rFonts w:asciiTheme="minorBidi" w:hAnsiTheme="minorBidi"/>
        </w:rPr>
        <w:br/>
        <w:t>Dr Minesh Khashu</w:t>
      </w:r>
      <w:r w:rsidR="00377F81" w:rsidRPr="00C801C1">
        <w:rPr>
          <w:rFonts w:asciiTheme="minorBidi" w:hAnsiTheme="minorBidi"/>
        </w:rPr>
        <w:t xml:space="preserve"> (MK)</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Clinical Lead for Poole Hospital, University Hospital Dorset</w:t>
      </w:r>
      <w:r w:rsidR="001936F4" w:rsidRPr="00C801C1">
        <w:rPr>
          <w:rFonts w:asciiTheme="minorBidi" w:hAnsiTheme="minorBidi"/>
        </w:rPr>
        <w:br/>
        <w:t>Dr Ann Lyons</w:t>
      </w:r>
      <w:r w:rsidR="00377F81" w:rsidRPr="00C801C1">
        <w:rPr>
          <w:rFonts w:asciiTheme="minorBidi" w:hAnsiTheme="minorBidi"/>
        </w:rPr>
        <w:t xml:space="preserve"> (AL)</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Consultant Colorectal Surgeon, North Bristol NHS Trust</w:t>
      </w:r>
      <w:r w:rsidR="001936F4" w:rsidRPr="00C801C1">
        <w:rPr>
          <w:rFonts w:asciiTheme="minorBidi" w:hAnsiTheme="minorBidi"/>
        </w:rPr>
        <w:br/>
        <w:t>Nick Pennell</w:t>
      </w:r>
      <w:r w:rsidR="00377F81" w:rsidRPr="00C801C1">
        <w:rPr>
          <w:rFonts w:asciiTheme="minorBidi" w:hAnsiTheme="minorBidi"/>
        </w:rPr>
        <w:t xml:space="preserve"> (NP)</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Citizens’ Assembly Representative</w:t>
      </w:r>
      <w:r w:rsidR="001936F4" w:rsidRPr="00C801C1">
        <w:rPr>
          <w:rFonts w:asciiTheme="minorBidi" w:hAnsiTheme="minorBidi"/>
        </w:rPr>
        <w:br/>
        <w:t>Anne Pullyblank</w:t>
      </w:r>
      <w:r w:rsidR="00377F81" w:rsidRPr="00C801C1">
        <w:rPr>
          <w:rFonts w:asciiTheme="minorBidi" w:hAnsiTheme="minorBidi"/>
        </w:rPr>
        <w:t xml:space="preserve"> (AP)</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Consultant Colorectal Surgeon, North Bristol NHS Trust</w:t>
      </w:r>
      <w:r w:rsidR="001936F4" w:rsidRPr="00C801C1">
        <w:rPr>
          <w:rFonts w:asciiTheme="minorBidi" w:hAnsiTheme="minorBidi"/>
        </w:rPr>
        <w:br/>
        <w:t>Vicky Rasey</w:t>
      </w:r>
      <w:r w:rsidR="00377F81" w:rsidRPr="00C801C1">
        <w:rPr>
          <w:rFonts w:asciiTheme="minorBidi" w:hAnsiTheme="minorBidi"/>
        </w:rPr>
        <w:t xml:space="preserve"> (VR)</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Co-ordinator for SW Regional Improvement and Innovation Alliance</w:t>
      </w:r>
      <w:r w:rsidR="001936F4" w:rsidRPr="00C801C1">
        <w:rPr>
          <w:rFonts w:asciiTheme="minorBidi" w:hAnsiTheme="minorBidi"/>
        </w:rPr>
        <w:br/>
        <w:t>Rebecca Reynolds</w:t>
      </w:r>
      <w:r w:rsidR="00377F81" w:rsidRPr="00C801C1">
        <w:rPr>
          <w:rFonts w:asciiTheme="minorBidi" w:hAnsiTheme="minorBidi"/>
        </w:rPr>
        <w:t xml:space="preserve"> </w:t>
      </w:r>
      <w:r w:rsidR="008A6BBF" w:rsidRPr="00C801C1">
        <w:rPr>
          <w:rFonts w:asciiTheme="minorBidi" w:hAnsiTheme="minorBidi"/>
        </w:rPr>
        <w:t>(RR)</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Director of Public Health, BANES Council</w:t>
      </w:r>
      <w:r w:rsidR="00D81703" w:rsidRPr="00C801C1">
        <w:rPr>
          <w:rFonts w:asciiTheme="minorBidi" w:eastAsia="Arial" w:hAnsiTheme="minorBidi"/>
          <w:bCs/>
        </w:rPr>
        <w:br/>
        <w:t>D</w:t>
      </w:r>
      <w:r w:rsidRPr="00C801C1">
        <w:rPr>
          <w:rFonts w:asciiTheme="minorBidi" w:hAnsiTheme="minorBidi"/>
        </w:rPr>
        <w:t>ebbie</w:t>
      </w:r>
      <w:r w:rsidR="00CC0888" w:rsidRPr="00C801C1">
        <w:rPr>
          <w:rFonts w:asciiTheme="minorBidi" w:hAnsiTheme="minorBidi"/>
        </w:rPr>
        <w:t xml:space="preserve"> Rigby</w:t>
      </w:r>
      <w:r w:rsidR="008A6BBF" w:rsidRPr="00C801C1">
        <w:rPr>
          <w:rFonts w:asciiTheme="minorBidi" w:hAnsiTheme="minorBidi"/>
        </w:rPr>
        <w:t xml:space="preserve"> (DR)</w:t>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hAnsiTheme="minorBidi"/>
        </w:rPr>
        <w:tab/>
      </w:r>
      <w:r w:rsidR="00D81703" w:rsidRPr="00C801C1">
        <w:rPr>
          <w:rFonts w:asciiTheme="minorBidi" w:hAnsiTheme="minorBidi"/>
        </w:rPr>
        <w:tab/>
      </w:r>
      <w:r w:rsidR="008A6BBF" w:rsidRPr="00C801C1">
        <w:rPr>
          <w:rFonts w:asciiTheme="minorBidi" w:hAnsiTheme="minorBidi"/>
        </w:rPr>
        <w:tab/>
      </w:r>
      <w:r w:rsidR="00D81703" w:rsidRPr="00C801C1">
        <w:rPr>
          <w:rFonts w:asciiTheme="minorBidi" w:hAnsiTheme="minorBidi"/>
        </w:rPr>
        <w:t>Chair of the Citizens’ Assembly</w:t>
      </w:r>
      <w:r w:rsidR="001936F4" w:rsidRPr="00C801C1">
        <w:rPr>
          <w:rFonts w:asciiTheme="minorBidi" w:hAnsiTheme="minorBidi"/>
        </w:rPr>
        <w:br/>
        <w:t>Lynn Sawyer</w:t>
      </w:r>
      <w:r w:rsidR="008A6BBF" w:rsidRPr="00C801C1">
        <w:rPr>
          <w:rFonts w:asciiTheme="minorBidi" w:hAnsiTheme="minorBidi"/>
        </w:rPr>
        <w:t xml:space="preserve"> (LD)</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Deputy Chief AHP, North Bristol Trust</w:t>
      </w:r>
      <w:r w:rsidR="001936F4" w:rsidRPr="00C801C1">
        <w:rPr>
          <w:rFonts w:asciiTheme="minorBidi" w:hAnsiTheme="minorBidi"/>
        </w:rPr>
        <w:br/>
        <w:t>Dr Parag Singhal</w:t>
      </w:r>
      <w:r w:rsidR="008A6BBF" w:rsidRPr="00C801C1">
        <w:rPr>
          <w:rFonts w:asciiTheme="minorBidi" w:hAnsiTheme="minorBidi"/>
        </w:rPr>
        <w:t xml:space="preserve"> (PS)</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 xml:space="preserve">Consultant General Medicine, Diabetes and Endocrinology, University Hospitals Bristol </w:t>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1936F4" w:rsidRPr="00C801C1">
        <w:rPr>
          <w:rFonts w:asciiTheme="minorBidi" w:hAnsiTheme="minorBidi"/>
        </w:rPr>
        <w:t>and Weston Foundation Trust</w:t>
      </w:r>
      <w:r w:rsidR="001936F4" w:rsidRPr="00C801C1">
        <w:rPr>
          <w:rFonts w:asciiTheme="minorBidi" w:hAnsiTheme="minorBidi"/>
        </w:rPr>
        <w:br/>
        <w:t>Geoff Smith (Guest facilitator)</w:t>
      </w:r>
      <w:r w:rsidR="008A6BBF" w:rsidRPr="00C801C1">
        <w:rPr>
          <w:rFonts w:asciiTheme="minorBidi" w:hAnsiTheme="minorBidi"/>
        </w:rPr>
        <w:t xml:space="preserve"> (GS)</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 xml:space="preserve">Interim Medical Director, Education Reform and Regional Postgraduate Dean, NHS </w:t>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8A6BBF" w:rsidRPr="00C801C1">
        <w:rPr>
          <w:rFonts w:asciiTheme="minorBidi" w:hAnsiTheme="minorBidi"/>
        </w:rPr>
        <w:tab/>
      </w:r>
      <w:r w:rsidR="001936F4" w:rsidRPr="00C801C1">
        <w:rPr>
          <w:rFonts w:asciiTheme="minorBidi" w:hAnsiTheme="minorBidi"/>
        </w:rPr>
        <w:t>England, South West Region</w:t>
      </w:r>
      <w:r w:rsidR="001936F4" w:rsidRPr="00C801C1">
        <w:rPr>
          <w:rFonts w:asciiTheme="minorBidi" w:hAnsiTheme="minorBidi"/>
        </w:rPr>
        <w:br/>
      </w:r>
      <w:r w:rsidR="001936F4" w:rsidRPr="00C801C1">
        <w:rPr>
          <w:rFonts w:asciiTheme="minorBidi" w:hAnsiTheme="minorBidi"/>
        </w:rPr>
        <w:lastRenderedPageBreak/>
        <w:t>Christine Spray</w:t>
      </w:r>
      <w:r w:rsidR="00991EED" w:rsidRPr="00C801C1">
        <w:rPr>
          <w:rFonts w:asciiTheme="minorBidi" w:hAnsiTheme="minorBidi"/>
        </w:rPr>
        <w:t xml:space="preserve"> (CS)</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 xml:space="preserve">Consultant in Paediatric Gastroenterology, Hepatology and Nutrition, United Hospital </w:t>
      </w:r>
      <w:r w:rsidR="00991EED" w:rsidRPr="00C801C1">
        <w:rPr>
          <w:rFonts w:asciiTheme="minorBidi" w:hAnsiTheme="minorBidi"/>
        </w:rPr>
        <w:tab/>
      </w:r>
      <w:r w:rsidR="00991EED" w:rsidRPr="00C801C1">
        <w:rPr>
          <w:rFonts w:asciiTheme="minorBidi" w:hAnsiTheme="minorBidi"/>
        </w:rPr>
        <w:tab/>
      </w:r>
      <w:r w:rsidR="00991EED" w:rsidRPr="00C801C1">
        <w:rPr>
          <w:rFonts w:asciiTheme="minorBidi" w:hAnsiTheme="minorBidi"/>
        </w:rPr>
        <w:tab/>
      </w:r>
      <w:r w:rsidR="00991EED" w:rsidRPr="00C801C1">
        <w:rPr>
          <w:rFonts w:asciiTheme="minorBidi" w:hAnsiTheme="minorBidi"/>
        </w:rPr>
        <w:tab/>
      </w:r>
      <w:r w:rsidR="00991EED" w:rsidRPr="00C801C1">
        <w:rPr>
          <w:rFonts w:asciiTheme="minorBidi" w:hAnsiTheme="minorBidi"/>
        </w:rPr>
        <w:tab/>
      </w:r>
      <w:r w:rsidR="00991EED" w:rsidRPr="00C801C1">
        <w:rPr>
          <w:rFonts w:asciiTheme="minorBidi" w:hAnsiTheme="minorBidi"/>
        </w:rPr>
        <w:tab/>
      </w:r>
      <w:r w:rsidR="00991EED" w:rsidRPr="00C801C1">
        <w:rPr>
          <w:rFonts w:asciiTheme="minorBidi" w:hAnsiTheme="minorBidi"/>
        </w:rPr>
        <w:tab/>
      </w:r>
      <w:r w:rsidR="00991EED" w:rsidRPr="00C801C1">
        <w:rPr>
          <w:rFonts w:asciiTheme="minorBidi" w:hAnsiTheme="minorBidi"/>
        </w:rPr>
        <w:tab/>
      </w:r>
      <w:r w:rsidR="00991EED" w:rsidRPr="00C801C1">
        <w:rPr>
          <w:rFonts w:asciiTheme="minorBidi" w:hAnsiTheme="minorBidi"/>
        </w:rPr>
        <w:tab/>
      </w:r>
      <w:r w:rsidR="001936F4" w:rsidRPr="00C801C1">
        <w:rPr>
          <w:rFonts w:asciiTheme="minorBidi" w:hAnsiTheme="minorBidi"/>
        </w:rPr>
        <w:t xml:space="preserve">Bristol </w:t>
      </w:r>
      <w:r w:rsidR="00991EED" w:rsidRPr="00C801C1">
        <w:rPr>
          <w:rFonts w:asciiTheme="minorBidi" w:hAnsiTheme="minorBidi"/>
        </w:rPr>
        <w:t>H</w:t>
      </w:r>
      <w:r w:rsidR="001936F4" w:rsidRPr="00C801C1">
        <w:rPr>
          <w:rFonts w:asciiTheme="minorBidi" w:hAnsiTheme="minorBidi"/>
        </w:rPr>
        <w:t>ealthcare Trust</w:t>
      </w:r>
      <w:r w:rsidR="001936F4" w:rsidRPr="00C801C1">
        <w:rPr>
          <w:rFonts w:asciiTheme="minorBidi" w:hAnsiTheme="minorBidi"/>
        </w:rPr>
        <w:br/>
        <w:t>Harley Stephens</w:t>
      </w:r>
      <w:r w:rsidR="00991EED" w:rsidRPr="00C801C1">
        <w:rPr>
          <w:rFonts w:asciiTheme="minorBidi" w:hAnsiTheme="minorBidi"/>
        </w:rPr>
        <w:t xml:space="preserve"> (HS)</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 xml:space="preserve">Consultant Therapeutic Radiographer, University Hospitals Bristol &amp; Weston NHS </w:t>
      </w:r>
      <w:r w:rsidR="00991EED" w:rsidRPr="00C801C1">
        <w:rPr>
          <w:rFonts w:asciiTheme="minorBidi" w:hAnsiTheme="minorBidi"/>
        </w:rPr>
        <w:tab/>
      </w:r>
      <w:r w:rsidR="00991EED" w:rsidRPr="00C801C1">
        <w:rPr>
          <w:rFonts w:asciiTheme="minorBidi" w:hAnsiTheme="minorBidi"/>
        </w:rPr>
        <w:tab/>
      </w:r>
      <w:r w:rsidR="00991EED" w:rsidRPr="00C801C1">
        <w:rPr>
          <w:rFonts w:asciiTheme="minorBidi" w:hAnsiTheme="minorBidi"/>
        </w:rPr>
        <w:tab/>
      </w:r>
      <w:r w:rsidR="00991EED" w:rsidRPr="00C801C1">
        <w:rPr>
          <w:rFonts w:asciiTheme="minorBidi" w:hAnsiTheme="minorBidi"/>
        </w:rPr>
        <w:tab/>
      </w:r>
      <w:r w:rsidR="00991EED" w:rsidRPr="00C801C1">
        <w:rPr>
          <w:rFonts w:asciiTheme="minorBidi" w:hAnsiTheme="minorBidi"/>
        </w:rPr>
        <w:tab/>
      </w:r>
      <w:r w:rsidR="00991EED" w:rsidRPr="00C801C1">
        <w:rPr>
          <w:rFonts w:asciiTheme="minorBidi" w:hAnsiTheme="minorBidi"/>
        </w:rPr>
        <w:tab/>
      </w:r>
      <w:r w:rsidR="00991EED" w:rsidRPr="00C801C1">
        <w:rPr>
          <w:rFonts w:asciiTheme="minorBidi" w:hAnsiTheme="minorBidi"/>
        </w:rPr>
        <w:tab/>
      </w:r>
      <w:r w:rsidR="00991EED" w:rsidRPr="00C801C1">
        <w:rPr>
          <w:rFonts w:asciiTheme="minorBidi" w:hAnsiTheme="minorBidi"/>
        </w:rPr>
        <w:tab/>
      </w:r>
      <w:r w:rsidR="00991EED" w:rsidRPr="00C801C1">
        <w:rPr>
          <w:rFonts w:asciiTheme="minorBidi" w:hAnsiTheme="minorBidi"/>
        </w:rPr>
        <w:tab/>
      </w:r>
      <w:r w:rsidR="001936F4" w:rsidRPr="00C801C1">
        <w:rPr>
          <w:rFonts w:asciiTheme="minorBidi" w:hAnsiTheme="minorBidi"/>
        </w:rPr>
        <w:t>Foundation Trust</w:t>
      </w:r>
      <w:r w:rsidR="001936F4" w:rsidRPr="00C801C1">
        <w:rPr>
          <w:rFonts w:asciiTheme="minorBidi" w:hAnsiTheme="minorBidi"/>
        </w:rPr>
        <w:br/>
        <w:t>Dr Miles Wagstaff</w:t>
      </w:r>
      <w:r w:rsidR="00991EED" w:rsidRPr="00C801C1">
        <w:rPr>
          <w:rFonts w:asciiTheme="minorBidi" w:hAnsiTheme="minorBidi"/>
        </w:rPr>
        <w:t xml:space="preserve"> (MW)</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 xml:space="preserve">Consultant Paediatrician and Neonatologist, Gloucestershire Hospitals NHS Foundation </w:t>
      </w:r>
      <w:r w:rsidR="00D76298" w:rsidRPr="00C801C1">
        <w:rPr>
          <w:rFonts w:asciiTheme="minorBidi" w:hAnsiTheme="minorBidi"/>
        </w:rPr>
        <w:tab/>
      </w:r>
      <w:r w:rsidR="00D76298" w:rsidRPr="00C801C1">
        <w:rPr>
          <w:rFonts w:asciiTheme="minorBidi" w:hAnsiTheme="minorBidi"/>
        </w:rPr>
        <w:tab/>
      </w:r>
      <w:r w:rsidR="00D76298" w:rsidRPr="00C801C1">
        <w:rPr>
          <w:rFonts w:asciiTheme="minorBidi" w:hAnsiTheme="minorBidi"/>
        </w:rPr>
        <w:tab/>
      </w:r>
      <w:r w:rsidR="00D76298" w:rsidRPr="00C801C1">
        <w:rPr>
          <w:rFonts w:asciiTheme="minorBidi" w:hAnsiTheme="minorBidi"/>
        </w:rPr>
        <w:tab/>
      </w:r>
      <w:r w:rsidR="00D76298" w:rsidRPr="00C801C1">
        <w:rPr>
          <w:rFonts w:asciiTheme="minorBidi" w:hAnsiTheme="minorBidi"/>
        </w:rPr>
        <w:tab/>
      </w:r>
      <w:r w:rsidR="00D76298" w:rsidRPr="00C801C1">
        <w:rPr>
          <w:rFonts w:asciiTheme="minorBidi" w:hAnsiTheme="minorBidi"/>
        </w:rPr>
        <w:tab/>
      </w:r>
      <w:r w:rsidR="00D76298" w:rsidRPr="00C801C1">
        <w:rPr>
          <w:rFonts w:asciiTheme="minorBidi" w:hAnsiTheme="minorBidi"/>
        </w:rPr>
        <w:tab/>
      </w:r>
      <w:r w:rsidR="00D76298" w:rsidRPr="00C801C1">
        <w:rPr>
          <w:rFonts w:asciiTheme="minorBidi" w:hAnsiTheme="minorBidi"/>
        </w:rPr>
        <w:tab/>
      </w:r>
      <w:r w:rsidR="001936F4" w:rsidRPr="00C801C1">
        <w:rPr>
          <w:rFonts w:asciiTheme="minorBidi" w:hAnsiTheme="minorBidi"/>
        </w:rPr>
        <w:t>Trust</w:t>
      </w:r>
      <w:r w:rsidR="00D76298" w:rsidRPr="00C801C1">
        <w:rPr>
          <w:rFonts w:asciiTheme="minorBidi" w:hAnsiTheme="minorBidi"/>
        </w:rPr>
        <w:br/>
      </w:r>
      <w:r w:rsidR="002E1E13" w:rsidRPr="00C801C1">
        <w:rPr>
          <w:rFonts w:asciiTheme="minorBidi" w:hAnsiTheme="minorBidi"/>
        </w:rPr>
        <w:t xml:space="preserve">Dr </w:t>
      </w:r>
      <w:r w:rsidR="001936F4" w:rsidRPr="00C801C1">
        <w:rPr>
          <w:rFonts w:asciiTheme="minorBidi" w:hAnsiTheme="minorBidi"/>
        </w:rPr>
        <w:t>Robert Weaver</w:t>
      </w:r>
      <w:r w:rsidR="00D76298" w:rsidRPr="00C801C1">
        <w:rPr>
          <w:rFonts w:asciiTheme="minorBidi" w:hAnsiTheme="minorBidi"/>
        </w:rPr>
        <w:t xml:space="preserve"> (RW)</w:t>
      </w:r>
      <w:r w:rsidR="003800C1" w:rsidRPr="00C801C1">
        <w:rPr>
          <w:rFonts w:asciiTheme="minorBidi" w:hAnsiTheme="minorBidi"/>
        </w:rPr>
        <w:tab/>
      </w:r>
      <w:r w:rsidR="003800C1" w:rsidRPr="00C801C1">
        <w:rPr>
          <w:rFonts w:asciiTheme="minorBidi" w:hAnsiTheme="minorBidi"/>
        </w:rPr>
        <w:tab/>
      </w:r>
      <w:r w:rsidR="003800C1" w:rsidRPr="00C801C1">
        <w:rPr>
          <w:rFonts w:asciiTheme="minorBidi" w:hAnsiTheme="minorBidi"/>
        </w:rPr>
        <w:tab/>
      </w:r>
      <w:r w:rsidR="003800C1" w:rsidRPr="00C801C1">
        <w:rPr>
          <w:rFonts w:asciiTheme="minorBidi" w:hAnsiTheme="minorBidi"/>
        </w:rPr>
        <w:tab/>
      </w:r>
      <w:r w:rsidR="003800C1" w:rsidRPr="00C801C1">
        <w:rPr>
          <w:rFonts w:asciiTheme="minorBidi" w:hAnsiTheme="minorBidi"/>
        </w:rPr>
        <w:tab/>
        <w:t xml:space="preserve">Deputy Chief Medical Officer, </w:t>
      </w:r>
      <w:r w:rsidR="002E1E13" w:rsidRPr="00C801C1">
        <w:rPr>
          <w:rFonts w:asciiTheme="minorBidi" w:hAnsiTheme="minorBidi"/>
        </w:rPr>
        <w:t>NHS Somerset ICB</w:t>
      </w:r>
      <w:r w:rsidR="001936F4" w:rsidRPr="00C801C1">
        <w:rPr>
          <w:rFonts w:asciiTheme="minorBidi" w:hAnsiTheme="minorBidi"/>
        </w:rPr>
        <w:br/>
        <w:t>Dr Paul Winterbottom</w:t>
      </w:r>
      <w:r w:rsidR="00D76298" w:rsidRPr="00C801C1">
        <w:rPr>
          <w:rFonts w:asciiTheme="minorBidi" w:hAnsiTheme="minorBidi"/>
        </w:rPr>
        <w:t xml:space="preserve"> (PW)</w:t>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Consultant Psychiatrist, Gloucestershire Health and Care NHS Foundation Trust</w:t>
      </w:r>
      <w:r w:rsidR="001936F4" w:rsidRPr="00C801C1">
        <w:rPr>
          <w:rFonts w:asciiTheme="minorBidi" w:hAnsiTheme="minorBidi"/>
        </w:rPr>
        <w:br/>
        <w:t>Peter Wright</w:t>
      </w:r>
      <w:r w:rsidR="001936F4" w:rsidRPr="00C801C1">
        <w:rPr>
          <w:rFonts w:asciiTheme="minorBidi" w:hAnsiTheme="minorBidi"/>
        </w:rPr>
        <w:tab/>
      </w:r>
      <w:r w:rsidR="00D76298" w:rsidRPr="00C801C1">
        <w:rPr>
          <w:rFonts w:asciiTheme="minorBidi" w:hAnsiTheme="minorBidi"/>
        </w:rPr>
        <w:t>(PWR)</w:t>
      </w:r>
      <w:r w:rsidR="001936F4" w:rsidRPr="00C801C1">
        <w:rPr>
          <w:rFonts w:asciiTheme="minorBidi" w:hAnsiTheme="minorBidi"/>
        </w:rPr>
        <w:tab/>
      </w:r>
      <w:r w:rsidR="001936F4" w:rsidRPr="00C801C1">
        <w:rPr>
          <w:rFonts w:asciiTheme="minorBidi" w:hAnsiTheme="minorBidi"/>
        </w:rPr>
        <w:tab/>
      </w:r>
      <w:r w:rsidR="00D76298"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r>
      <w:r w:rsidR="001936F4" w:rsidRPr="00C801C1">
        <w:rPr>
          <w:rFonts w:asciiTheme="minorBidi" w:hAnsiTheme="minorBidi"/>
        </w:rPr>
        <w:tab/>
        <w:t>Director of Healthcare Science and Technology, University Hospitals Plymouth NHS Trust</w:t>
      </w:r>
      <w:r w:rsidR="004A1BE7" w:rsidRPr="00C801C1">
        <w:rPr>
          <w:rFonts w:asciiTheme="minorBidi" w:hAnsiTheme="minorBidi"/>
        </w:rPr>
        <w:br/>
      </w:r>
      <w:r w:rsidRPr="00C801C1">
        <w:rPr>
          <w:rFonts w:asciiTheme="minorBidi" w:hAnsiTheme="minorBidi"/>
        </w:rPr>
        <w:t xml:space="preserve">Julie </w:t>
      </w:r>
      <w:r w:rsidR="00280905" w:rsidRPr="00C801C1">
        <w:rPr>
          <w:rFonts w:asciiTheme="minorBidi" w:hAnsiTheme="minorBidi"/>
        </w:rPr>
        <w:t>Zatman-</w:t>
      </w:r>
      <w:r w:rsidRPr="00C801C1">
        <w:rPr>
          <w:rFonts w:asciiTheme="minorBidi" w:hAnsiTheme="minorBidi"/>
        </w:rPr>
        <w:t>Symonds</w:t>
      </w:r>
      <w:r w:rsidR="00D76298" w:rsidRPr="00C801C1">
        <w:rPr>
          <w:rFonts w:asciiTheme="minorBidi" w:hAnsiTheme="minorBidi"/>
        </w:rPr>
        <w:t xml:space="preserve"> (JZS)</w:t>
      </w:r>
      <w:r w:rsidR="004A1BE7" w:rsidRPr="00C801C1">
        <w:rPr>
          <w:rFonts w:asciiTheme="minorBidi" w:hAnsiTheme="minorBidi"/>
        </w:rPr>
        <w:tab/>
      </w:r>
      <w:r w:rsidR="004A1BE7" w:rsidRPr="00C801C1">
        <w:rPr>
          <w:rFonts w:asciiTheme="minorBidi" w:hAnsiTheme="minorBidi"/>
        </w:rPr>
        <w:tab/>
      </w:r>
      <w:r w:rsidR="004A1BE7" w:rsidRPr="00C801C1">
        <w:rPr>
          <w:rFonts w:asciiTheme="minorBidi" w:hAnsiTheme="minorBidi"/>
        </w:rPr>
        <w:tab/>
      </w:r>
      <w:r w:rsidR="004A1BE7" w:rsidRPr="00C801C1">
        <w:rPr>
          <w:rFonts w:asciiTheme="minorBidi" w:hAnsiTheme="minorBidi"/>
        </w:rPr>
        <w:tab/>
        <w:t>Deputy Chief Nurse, Gloucestershire IC</w:t>
      </w:r>
      <w:r w:rsidR="00C801C1" w:rsidRPr="00C801C1">
        <w:rPr>
          <w:rFonts w:asciiTheme="minorBidi" w:hAnsiTheme="minorBidi"/>
        </w:rPr>
        <w:t>B</w:t>
      </w:r>
    </w:p>
    <w:tbl>
      <w:tblPr>
        <w:tblStyle w:val="TableGrid"/>
        <w:tblpPr w:leftFromText="180" w:rightFromText="180" w:vertAnchor="text" w:horzAnchor="margin" w:tblpY="905"/>
        <w:tblW w:w="15588" w:type="dxa"/>
        <w:tblLook w:val="04A0" w:firstRow="1" w:lastRow="0" w:firstColumn="1" w:lastColumn="0" w:noHBand="0" w:noVBand="1"/>
      </w:tblPr>
      <w:tblGrid>
        <w:gridCol w:w="562"/>
        <w:gridCol w:w="15026"/>
      </w:tblGrid>
      <w:tr w:rsidR="004A1BE7" w:rsidRPr="00C801C1" w14:paraId="1112D7CF" w14:textId="77777777" w:rsidTr="0091023F">
        <w:trPr>
          <w:trHeight w:val="283"/>
        </w:trPr>
        <w:tc>
          <w:tcPr>
            <w:tcW w:w="562" w:type="dxa"/>
            <w:shd w:val="clear" w:color="auto" w:fill="BFBFBF"/>
          </w:tcPr>
          <w:p w14:paraId="0D05A816" w14:textId="77777777" w:rsidR="004A1BE7" w:rsidRPr="00C801C1" w:rsidRDefault="004A1BE7" w:rsidP="00F43D50">
            <w:pPr>
              <w:rPr>
                <w:rFonts w:asciiTheme="minorBidi" w:hAnsiTheme="minorBidi"/>
                <w:b/>
                <w:bCs/>
              </w:rPr>
            </w:pPr>
            <w:r w:rsidRPr="00C801C1">
              <w:rPr>
                <w:rFonts w:asciiTheme="minorBidi" w:hAnsiTheme="minorBidi"/>
                <w:b/>
                <w:bCs/>
              </w:rPr>
              <w:t>No</w:t>
            </w:r>
          </w:p>
        </w:tc>
        <w:tc>
          <w:tcPr>
            <w:tcW w:w="15026" w:type="dxa"/>
            <w:shd w:val="clear" w:color="auto" w:fill="BFBFBF"/>
          </w:tcPr>
          <w:p w14:paraId="2D0E1A47" w14:textId="77777777" w:rsidR="004A1BE7" w:rsidRPr="00C801C1" w:rsidRDefault="004A1BE7" w:rsidP="00F43D50">
            <w:pPr>
              <w:rPr>
                <w:rFonts w:asciiTheme="minorBidi" w:hAnsiTheme="minorBidi"/>
                <w:b/>
                <w:bCs/>
              </w:rPr>
            </w:pPr>
            <w:r w:rsidRPr="00C801C1">
              <w:rPr>
                <w:rFonts w:asciiTheme="minorBidi" w:hAnsiTheme="minorBidi"/>
                <w:b/>
                <w:bCs/>
              </w:rPr>
              <w:t>Item</w:t>
            </w:r>
          </w:p>
        </w:tc>
      </w:tr>
      <w:tr w:rsidR="004A1BE7" w:rsidRPr="00C801C1" w14:paraId="4A5448EA" w14:textId="77777777" w:rsidTr="0091023F">
        <w:trPr>
          <w:trHeight w:val="283"/>
        </w:trPr>
        <w:tc>
          <w:tcPr>
            <w:tcW w:w="562" w:type="dxa"/>
          </w:tcPr>
          <w:p w14:paraId="1AEDD4A7" w14:textId="77777777" w:rsidR="004A1BE7" w:rsidRPr="00C801C1" w:rsidRDefault="004A1BE7" w:rsidP="00F43D50">
            <w:pPr>
              <w:rPr>
                <w:rFonts w:asciiTheme="minorBidi" w:hAnsiTheme="minorBidi"/>
                <w:b/>
                <w:bCs/>
              </w:rPr>
            </w:pPr>
            <w:r w:rsidRPr="00C801C1">
              <w:rPr>
                <w:rFonts w:asciiTheme="minorBidi" w:hAnsiTheme="minorBidi"/>
                <w:b/>
                <w:bCs/>
              </w:rPr>
              <w:t>1.</w:t>
            </w:r>
          </w:p>
        </w:tc>
        <w:tc>
          <w:tcPr>
            <w:tcW w:w="15026" w:type="dxa"/>
          </w:tcPr>
          <w:p w14:paraId="3103C3D7" w14:textId="77777777" w:rsidR="004A1BE7" w:rsidRPr="00C801C1" w:rsidRDefault="004A1BE7" w:rsidP="00F43D50">
            <w:pPr>
              <w:rPr>
                <w:rFonts w:asciiTheme="minorBidi" w:hAnsiTheme="minorBidi"/>
                <w:b/>
                <w:bCs/>
                <w:u w:val="single"/>
              </w:rPr>
            </w:pPr>
            <w:r w:rsidRPr="00C801C1">
              <w:rPr>
                <w:rFonts w:asciiTheme="minorBidi" w:hAnsiTheme="minorBidi"/>
                <w:b/>
                <w:bCs/>
                <w:u w:val="single"/>
              </w:rPr>
              <w:t>Welcome and Introductions</w:t>
            </w:r>
          </w:p>
          <w:p w14:paraId="5620A50E" w14:textId="77777777" w:rsidR="004A1BE7" w:rsidRPr="00C801C1" w:rsidRDefault="004A1BE7" w:rsidP="00EE3616">
            <w:pPr>
              <w:rPr>
                <w:rFonts w:asciiTheme="minorBidi" w:hAnsiTheme="minorBidi"/>
                <w:b/>
                <w:bCs/>
                <w:u w:val="single"/>
              </w:rPr>
            </w:pPr>
          </w:p>
          <w:p w14:paraId="5331A908" w14:textId="50FF8AA2" w:rsidR="00D14DC6" w:rsidRPr="00C801C1" w:rsidRDefault="00EE3616" w:rsidP="00B54CA4">
            <w:pPr>
              <w:rPr>
                <w:rFonts w:asciiTheme="minorBidi" w:hAnsiTheme="minorBidi"/>
              </w:rPr>
            </w:pPr>
            <w:r w:rsidRPr="00C801C1">
              <w:rPr>
                <w:rFonts w:asciiTheme="minorBidi" w:hAnsiTheme="minorBidi"/>
              </w:rPr>
              <w:t xml:space="preserve">MAE </w:t>
            </w:r>
            <w:r w:rsidR="00F17418" w:rsidRPr="00C801C1">
              <w:rPr>
                <w:rFonts w:asciiTheme="minorBidi" w:hAnsiTheme="minorBidi"/>
              </w:rPr>
              <w:t xml:space="preserve">welcomed attendees and </w:t>
            </w:r>
            <w:r w:rsidR="004A7180" w:rsidRPr="00C801C1">
              <w:rPr>
                <w:rFonts w:asciiTheme="minorBidi" w:hAnsiTheme="minorBidi"/>
              </w:rPr>
              <w:t>introduced the meeting</w:t>
            </w:r>
            <w:r w:rsidR="00B77384" w:rsidRPr="00C801C1">
              <w:rPr>
                <w:rFonts w:asciiTheme="minorBidi" w:hAnsiTheme="minorBidi"/>
              </w:rPr>
              <w:t xml:space="preserve"> by outlining</w:t>
            </w:r>
            <w:r w:rsidR="0067770B" w:rsidRPr="00C801C1">
              <w:rPr>
                <w:rFonts w:asciiTheme="minorBidi" w:hAnsiTheme="minorBidi"/>
              </w:rPr>
              <w:t xml:space="preserve"> the informal nature of the session, aimed at discussing the</w:t>
            </w:r>
            <w:r w:rsidR="00B82522" w:rsidRPr="00C801C1">
              <w:rPr>
                <w:rFonts w:asciiTheme="minorBidi" w:hAnsiTheme="minorBidi"/>
              </w:rPr>
              <w:t xml:space="preserve"> 10 Year Health Plan “</w:t>
            </w:r>
            <w:r w:rsidR="00AC7BA2">
              <w:rPr>
                <w:rFonts w:asciiTheme="minorBidi" w:hAnsiTheme="minorBidi"/>
              </w:rPr>
              <w:t>F</w:t>
            </w:r>
            <w:r w:rsidR="00B82522" w:rsidRPr="00C801C1">
              <w:rPr>
                <w:rFonts w:asciiTheme="minorBidi" w:hAnsiTheme="minorBidi"/>
              </w:rPr>
              <w:t>it for the Future”.</w:t>
            </w:r>
            <w:r w:rsidR="00167FF4" w:rsidRPr="00C801C1">
              <w:rPr>
                <w:rFonts w:asciiTheme="minorBidi" w:hAnsiTheme="minorBidi"/>
              </w:rPr>
              <w:t xml:space="preserve"> No formal recommendations will be made</w:t>
            </w:r>
            <w:r w:rsidR="008559FF" w:rsidRPr="00C801C1">
              <w:rPr>
                <w:rFonts w:asciiTheme="minorBidi" w:hAnsiTheme="minorBidi"/>
              </w:rPr>
              <w:t xml:space="preserve">. </w:t>
            </w:r>
          </w:p>
          <w:p w14:paraId="3E300277" w14:textId="77777777" w:rsidR="00D14DC6" w:rsidRPr="00C801C1" w:rsidRDefault="00D14DC6" w:rsidP="00B54CA4">
            <w:pPr>
              <w:rPr>
                <w:rFonts w:asciiTheme="minorBidi" w:hAnsiTheme="minorBidi"/>
              </w:rPr>
            </w:pPr>
          </w:p>
          <w:p w14:paraId="12971D86" w14:textId="2DDF323B" w:rsidR="00B54CA4" w:rsidRPr="00C801C1" w:rsidRDefault="00D14DC6" w:rsidP="0077605A">
            <w:pPr>
              <w:rPr>
                <w:rFonts w:asciiTheme="minorBidi" w:hAnsiTheme="minorBidi"/>
              </w:rPr>
            </w:pPr>
            <w:r w:rsidRPr="00C801C1">
              <w:rPr>
                <w:rFonts w:asciiTheme="minorBidi" w:hAnsiTheme="minorBidi"/>
              </w:rPr>
              <w:t>MAE noted</w:t>
            </w:r>
            <w:r w:rsidR="00F12D58" w:rsidRPr="00C801C1">
              <w:rPr>
                <w:rFonts w:asciiTheme="minorBidi" w:hAnsiTheme="minorBidi"/>
              </w:rPr>
              <w:t xml:space="preserve"> t</w:t>
            </w:r>
            <w:r w:rsidR="0077605A" w:rsidRPr="00C801C1">
              <w:rPr>
                <w:rFonts w:asciiTheme="minorBidi" w:hAnsiTheme="minorBidi"/>
              </w:rPr>
              <w:t>he growing membership of the Senate Council</w:t>
            </w:r>
            <w:r w:rsidR="000975F8" w:rsidRPr="00C801C1">
              <w:rPr>
                <w:rFonts w:asciiTheme="minorBidi" w:hAnsiTheme="minorBidi"/>
              </w:rPr>
              <w:t xml:space="preserve"> and </w:t>
            </w:r>
            <w:r w:rsidR="0077605A" w:rsidRPr="00C801C1">
              <w:rPr>
                <w:rFonts w:asciiTheme="minorBidi" w:hAnsiTheme="minorBidi"/>
              </w:rPr>
              <w:t xml:space="preserve">the presence of several new faces and reiterated her commitment to expanding the Council’s reach and inclusivity. </w:t>
            </w:r>
            <w:r w:rsidR="000975F8" w:rsidRPr="00C801C1">
              <w:rPr>
                <w:rFonts w:asciiTheme="minorBidi" w:hAnsiTheme="minorBidi"/>
              </w:rPr>
              <w:t>She</w:t>
            </w:r>
            <w:r w:rsidR="0077605A" w:rsidRPr="00C801C1">
              <w:rPr>
                <w:rFonts w:asciiTheme="minorBidi" w:hAnsiTheme="minorBidi"/>
              </w:rPr>
              <w:t xml:space="preserve"> emphasised that the Senate Council’s strength lies in its diversity of professional backgrounds and perspectives, and she encouraged open, respectful dialogue throughout the session.</w:t>
            </w:r>
          </w:p>
        </w:tc>
      </w:tr>
      <w:tr w:rsidR="005636F6" w:rsidRPr="00C801C1" w14:paraId="69629733" w14:textId="77777777" w:rsidTr="0091023F">
        <w:trPr>
          <w:trHeight w:val="283"/>
        </w:trPr>
        <w:tc>
          <w:tcPr>
            <w:tcW w:w="562" w:type="dxa"/>
          </w:tcPr>
          <w:p w14:paraId="24A2DB78" w14:textId="4FD80460" w:rsidR="005636F6" w:rsidRPr="00C801C1" w:rsidRDefault="005636F6" w:rsidP="00F43D50">
            <w:pPr>
              <w:rPr>
                <w:rFonts w:asciiTheme="minorBidi" w:hAnsiTheme="minorBidi"/>
                <w:b/>
                <w:bCs/>
              </w:rPr>
            </w:pPr>
            <w:r w:rsidRPr="00C801C1">
              <w:rPr>
                <w:rFonts w:asciiTheme="minorBidi" w:hAnsiTheme="minorBidi"/>
                <w:b/>
                <w:bCs/>
              </w:rPr>
              <w:t>2.</w:t>
            </w:r>
          </w:p>
        </w:tc>
        <w:tc>
          <w:tcPr>
            <w:tcW w:w="15026" w:type="dxa"/>
          </w:tcPr>
          <w:p w14:paraId="41827CDE" w14:textId="77777777" w:rsidR="005636F6" w:rsidRPr="00C801C1" w:rsidRDefault="00DE62B8" w:rsidP="00F43D50">
            <w:pPr>
              <w:rPr>
                <w:rFonts w:asciiTheme="minorBidi" w:hAnsiTheme="minorBidi"/>
                <w:b/>
                <w:bCs/>
                <w:u w:val="single"/>
              </w:rPr>
            </w:pPr>
            <w:r w:rsidRPr="00C801C1">
              <w:rPr>
                <w:rFonts w:asciiTheme="minorBidi" w:hAnsiTheme="minorBidi"/>
                <w:b/>
                <w:bCs/>
                <w:u w:val="single"/>
              </w:rPr>
              <w:t>Community: Neighbourhood Health Services Closer to You</w:t>
            </w:r>
          </w:p>
          <w:p w14:paraId="131CBB4A" w14:textId="6FD21351" w:rsidR="00633784" w:rsidRPr="00C801C1" w:rsidRDefault="00633784" w:rsidP="00F43D50">
            <w:pPr>
              <w:rPr>
                <w:rFonts w:asciiTheme="minorBidi" w:hAnsiTheme="minorBidi"/>
              </w:rPr>
            </w:pPr>
          </w:p>
          <w:p w14:paraId="31F3A888" w14:textId="3C580510" w:rsidR="00902D22" w:rsidRPr="00C801C1" w:rsidRDefault="00EA2585" w:rsidP="005C7FBE">
            <w:pPr>
              <w:spacing w:after="160" w:line="278" w:lineRule="auto"/>
              <w:rPr>
                <w:rFonts w:asciiTheme="minorBidi" w:hAnsiTheme="minorBidi"/>
              </w:rPr>
            </w:pPr>
            <w:r w:rsidRPr="00C801C1">
              <w:rPr>
                <w:rFonts w:asciiTheme="minorBidi" w:hAnsiTheme="minorBidi"/>
              </w:rPr>
              <w:t>MAE su</w:t>
            </w:r>
            <w:r w:rsidR="0076597D" w:rsidRPr="00C801C1">
              <w:rPr>
                <w:rFonts w:asciiTheme="minorBidi" w:hAnsiTheme="minorBidi"/>
              </w:rPr>
              <w:t>mmarised the key points</w:t>
            </w:r>
            <w:r w:rsidR="009F1044" w:rsidRPr="00C801C1">
              <w:rPr>
                <w:rFonts w:asciiTheme="minorBidi" w:hAnsiTheme="minorBidi"/>
              </w:rPr>
              <w:t xml:space="preserve"> of the neighbourhood health</w:t>
            </w:r>
            <w:r w:rsidR="00EC7D1A" w:rsidRPr="00C801C1">
              <w:rPr>
                <w:rFonts w:asciiTheme="minorBidi" w:hAnsiTheme="minorBidi"/>
              </w:rPr>
              <w:t xml:space="preserve"> section of the 10 Year Health Plan</w:t>
            </w:r>
            <w:r w:rsidR="00902D22" w:rsidRPr="00C801C1">
              <w:rPr>
                <w:rFonts w:asciiTheme="minorBidi" w:hAnsiTheme="minorBidi"/>
              </w:rPr>
              <w:t>, including training more GPs, establishing neighbourhood health centres, increasing the role of community pharmacies, and shifting from minor injury units to urgent treatment centres.</w:t>
            </w:r>
          </w:p>
          <w:p w14:paraId="067C0085" w14:textId="5EB7483F" w:rsidR="002B5C92" w:rsidRPr="00C801C1" w:rsidRDefault="004B34FB" w:rsidP="0091023F">
            <w:pPr>
              <w:spacing w:after="160" w:line="278" w:lineRule="auto"/>
              <w:rPr>
                <w:rFonts w:asciiTheme="minorBidi" w:hAnsiTheme="minorBidi"/>
              </w:rPr>
            </w:pPr>
            <w:r w:rsidRPr="00C801C1">
              <w:rPr>
                <w:rFonts w:asciiTheme="minorBidi" w:hAnsiTheme="minorBidi"/>
                <w:b/>
                <w:bCs/>
                <w:i/>
                <w:iCs/>
              </w:rPr>
              <w:t>Discussion:</w:t>
            </w:r>
            <w:r w:rsidR="0091023F">
              <w:rPr>
                <w:rFonts w:asciiTheme="minorBidi" w:hAnsiTheme="minorBidi"/>
                <w:b/>
                <w:bCs/>
                <w:i/>
                <w:iCs/>
              </w:rPr>
              <w:br/>
            </w:r>
            <w:r w:rsidR="002B5C92" w:rsidRPr="00C801C1">
              <w:rPr>
                <w:rFonts w:asciiTheme="minorBidi" w:hAnsiTheme="minorBidi"/>
              </w:rPr>
              <w:t xml:space="preserve">AP questioned the feasibility of eliminating outpatient departments by 2035, noting that many outpatient services involve complex diagnostic and therapeutic procedures that cannot be easily decentralised. She cited examples such as breast cancer clinics and orthopaedic assessments, which require co-location of specialist staff and equipment. She also highlighted the inefficiencies that could </w:t>
            </w:r>
            <w:r w:rsidR="002B5C92" w:rsidRPr="00C801C1">
              <w:rPr>
                <w:rFonts w:asciiTheme="minorBidi" w:hAnsiTheme="minorBidi"/>
              </w:rPr>
              <w:lastRenderedPageBreak/>
              <w:t>arise from requiring specialists to travel between multiple community sites.</w:t>
            </w:r>
            <w:r w:rsidR="00BB10E6" w:rsidRPr="00C801C1">
              <w:rPr>
                <w:rFonts w:asciiTheme="minorBidi" w:hAnsiTheme="minorBidi"/>
              </w:rPr>
              <w:t xml:space="preserve"> CP agreed</w:t>
            </w:r>
            <w:r w:rsidR="00B53C74" w:rsidRPr="00C801C1">
              <w:rPr>
                <w:rFonts w:asciiTheme="minorBidi" w:hAnsiTheme="minorBidi"/>
              </w:rPr>
              <w:t xml:space="preserve">, stating that in paediatric specialist services, they need outpatient departments. </w:t>
            </w:r>
          </w:p>
          <w:p w14:paraId="5E2CA071" w14:textId="45E1D000" w:rsidR="002B5C92" w:rsidRPr="00C801C1" w:rsidRDefault="00821681" w:rsidP="002B5C92">
            <w:pPr>
              <w:spacing w:after="160" w:line="278" w:lineRule="auto"/>
              <w:rPr>
                <w:rFonts w:asciiTheme="minorBidi" w:hAnsiTheme="minorBidi"/>
              </w:rPr>
            </w:pPr>
            <w:r w:rsidRPr="00C801C1">
              <w:rPr>
                <w:rFonts w:asciiTheme="minorBidi" w:hAnsiTheme="minorBidi"/>
              </w:rPr>
              <w:t>MAE</w:t>
            </w:r>
            <w:r w:rsidR="002B5C92" w:rsidRPr="00C801C1">
              <w:rPr>
                <w:rFonts w:asciiTheme="minorBidi" w:hAnsiTheme="minorBidi"/>
              </w:rPr>
              <w:t xml:space="preserve"> echoed these concerns, particularly in the context of the South West’s rural and coastal geography. She noted that travel times between communities can be substantial, and that the logistical burden on clinicians could undermine service efficiency and patient access.</w:t>
            </w:r>
          </w:p>
          <w:p w14:paraId="7113FCBE" w14:textId="0ADC9C2D" w:rsidR="002B5C92" w:rsidRPr="00C801C1" w:rsidRDefault="00821681" w:rsidP="002B5C92">
            <w:pPr>
              <w:spacing w:after="160" w:line="278" w:lineRule="auto"/>
              <w:rPr>
                <w:rFonts w:asciiTheme="minorBidi" w:hAnsiTheme="minorBidi"/>
              </w:rPr>
            </w:pPr>
            <w:r w:rsidRPr="00C801C1">
              <w:rPr>
                <w:rFonts w:asciiTheme="minorBidi" w:hAnsiTheme="minorBidi"/>
              </w:rPr>
              <w:t>KD</w:t>
            </w:r>
            <w:r w:rsidR="002B5C92" w:rsidRPr="00C801C1">
              <w:rPr>
                <w:rFonts w:asciiTheme="minorBidi" w:hAnsiTheme="minorBidi"/>
              </w:rPr>
              <w:t xml:space="preserve"> </w:t>
            </w:r>
            <w:r w:rsidR="00844604" w:rsidRPr="00C801C1">
              <w:rPr>
                <w:rFonts w:asciiTheme="minorBidi" w:hAnsiTheme="minorBidi"/>
              </w:rPr>
              <w:t>highlighted</w:t>
            </w:r>
            <w:r w:rsidR="002B5C92" w:rsidRPr="00C801C1">
              <w:rPr>
                <w:rFonts w:asciiTheme="minorBidi" w:hAnsiTheme="minorBidi"/>
              </w:rPr>
              <w:t xml:space="preserve"> that the plan’s use of the term “community” appeared to be more rhetorical than substantive. He emphasised the need to involve communities as active partners in service design and delivery, rather than treating them as passive recipients of care. He also raised concerns about digital exclusion, citing data indicating that a significant proportion of the population lacks access to up-to-date digital devices or reliable internet connectivity.</w:t>
            </w:r>
          </w:p>
          <w:p w14:paraId="26D4023B" w14:textId="44DB7081" w:rsidR="002B5C92" w:rsidRPr="00C801C1" w:rsidRDefault="002B5C92" w:rsidP="002B5C92">
            <w:pPr>
              <w:spacing w:after="160" w:line="278" w:lineRule="auto"/>
              <w:rPr>
                <w:rFonts w:asciiTheme="minorBidi" w:hAnsiTheme="minorBidi"/>
              </w:rPr>
            </w:pPr>
            <w:r w:rsidRPr="00C801C1">
              <w:rPr>
                <w:rFonts w:asciiTheme="minorBidi" w:hAnsiTheme="minorBidi"/>
              </w:rPr>
              <w:t>LS</w:t>
            </w:r>
            <w:r w:rsidR="00FD69CD" w:rsidRPr="00C801C1">
              <w:rPr>
                <w:rFonts w:asciiTheme="minorBidi" w:hAnsiTheme="minorBidi"/>
              </w:rPr>
              <w:t xml:space="preserve"> questioned</w:t>
            </w:r>
            <w:r w:rsidR="00CC2E5A" w:rsidRPr="00C801C1">
              <w:rPr>
                <w:rFonts w:asciiTheme="minorBidi" w:hAnsiTheme="minorBidi"/>
              </w:rPr>
              <w:t xml:space="preserve"> the</w:t>
            </w:r>
            <w:r w:rsidRPr="00C801C1">
              <w:rPr>
                <w:rFonts w:asciiTheme="minorBidi" w:hAnsiTheme="minorBidi"/>
              </w:rPr>
              <w:t xml:space="preserve"> workforce implications, </w:t>
            </w:r>
            <w:r w:rsidR="00CC2E5A" w:rsidRPr="00C801C1">
              <w:rPr>
                <w:rFonts w:asciiTheme="minorBidi" w:hAnsiTheme="minorBidi"/>
              </w:rPr>
              <w:t>in particular,</w:t>
            </w:r>
            <w:r w:rsidRPr="00C801C1">
              <w:rPr>
                <w:rFonts w:asciiTheme="minorBidi" w:hAnsiTheme="minorBidi"/>
              </w:rPr>
              <w:t xml:space="preserve"> how the proposed extended hours and expanded services would be staffed. She pointed out that many allied health professionals (AHPs) are already stretched thin, and that shifting services into the community would not necessarily reduce demand in hospitals, where acutely ill patients would still require care.</w:t>
            </w:r>
          </w:p>
          <w:p w14:paraId="2E6658FE" w14:textId="1813317E" w:rsidR="002B5C92" w:rsidRPr="00C801C1" w:rsidRDefault="00CC2E5A" w:rsidP="002B5C92">
            <w:pPr>
              <w:spacing w:after="160" w:line="278" w:lineRule="auto"/>
              <w:rPr>
                <w:rFonts w:asciiTheme="minorBidi" w:hAnsiTheme="minorBidi"/>
              </w:rPr>
            </w:pPr>
            <w:r w:rsidRPr="00C801C1">
              <w:rPr>
                <w:rFonts w:asciiTheme="minorBidi" w:hAnsiTheme="minorBidi"/>
              </w:rPr>
              <w:t>JS</w:t>
            </w:r>
            <w:r w:rsidR="002B5C92" w:rsidRPr="00C801C1">
              <w:rPr>
                <w:rFonts w:asciiTheme="minorBidi" w:hAnsiTheme="minorBidi"/>
              </w:rPr>
              <w:t xml:space="preserve"> raised the issue of same-day appointments in primary care. While acknowledging the importance of timely access, she warned that an overemphasis on urgent care could undermine continuity and the management of long-term conditions. She cited local audit data showing that the current model often leads to inappropriate use of urgent slots and increased pressure on general practice.</w:t>
            </w:r>
          </w:p>
          <w:p w14:paraId="2770CDA9" w14:textId="339FBF75" w:rsidR="002B5C92" w:rsidRPr="00C801C1" w:rsidRDefault="005C3737" w:rsidP="002B5C92">
            <w:pPr>
              <w:spacing w:after="160" w:line="278" w:lineRule="auto"/>
              <w:rPr>
                <w:rFonts w:asciiTheme="minorBidi" w:hAnsiTheme="minorBidi"/>
              </w:rPr>
            </w:pPr>
            <w:r w:rsidRPr="00C801C1">
              <w:rPr>
                <w:rFonts w:asciiTheme="minorBidi" w:hAnsiTheme="minorBidi"/>
              </w:rPr>
              <w:t>AL</w:t>
            </w:r>
            <w:r w:rsidR="002B5C92" w:rsidRPr="00C801C1">
              <w:rPr>
                <w:rFonts w:asciiTheme="minorBidi" w:hAnsiTheme="minorBidi"/>
              </w:rPr>
              <w:t xml:space="preserve"> </w:t>
            </w:r>
            <w:r w:rsidR="001E0880" w:rsidRPr="00C801C1">
              <w:rPr>
                <w:rFonts w:asciiTheme="minorBidi" w:hAnsiTheme="minorBidi"/>
              </w:rPr>
              <w:t xml:space="preserve">reflected on the idea of one-stop community health centres, drawing on experience in Germany where non-GP-led specialists handled diagnostics and referred complex cases to hospitals. </w:t>
            </w:r>
            <w:r w:rsidR="00823F29" w:rsidRPr="00C801C1">
              <w:rPr>
                <w:rFonts w:asciiTheme="minorBidi" w:hAnsiTheme="minorBidi"/>
              </w:rPr>
              <w:t>She</w:t>
            </w:r>
            <w:r w:rsidR="001E0880" w:rsidRPr="00C801C1">
              <w:rPr>
                <w:rFonts w:asciiTheme="minorBidi" w:hAnsiTheme="minorBidi"/>
              </w:rPr>
              <w:t xml:space="preserve"> questioned whether the UK is moving toward a similar model with plans to close outpatient services by 2035. </w:t>
            </w:r>
            <w:r w:rsidR="00782CCC" w:rsidRPr="00C801C1">
              <w:rPr>
                <w:rFonts w:asciiTheme="minorBidi" w:hAnsiTheme="minorBidi"/>
              </w:rPr>
              <w:t>She</w:t>
            </w:r>
            <w:r w:rsidR="001E0880" w:rsidRPr="00C801C1">
              <w:rPr>
                <w:rFonts w:asciiTheme="minorBidi" w:hAnsiTheme="minorBidi"/>
              </w:rPr>
              <w:t xml:space="preserve"> also raised concerns about the fragmented use of digital health apps, calling for a unified, user-friendly platform across the South</w:t>
            </w:r>
            <w:r w:rsidR="00782CCC" w:rsidRPr="00C801C1">
              <w:rPr>
                <w:rFonts w:asciiTheme="minorBidi" w:hAnsiTheme="minorBidi"/>
              </w:rPr>
              <w:t xml:space="preserve"> W</w:t>
            </w:r>
            <w:r w:rsidR="001E0880" w:rsidRPr="00C801C1">
              <w:rPr>
                <w:rFonts w:asciiTheme="minorBidi" w:hAnsiTheme="minorBidi"/>
              </w:rPr>
              <w:t>est to improve patient access and experience.</w:t>
            </w:r>
          </w:p>
          <w:p w14:paraId="216CD08E" w14:textId="77777777" w:rsidR="00232798" w:rsidRPr="00C801C1" w:rsidRDefault="00232798" w:rsidP="00CF3524">
            <w:pPr>
              <w:spacing w:after="160" w:line="278" w:lineRule="auto"/>
              <w:rPr>
                <w:rFonts w:asciiTheme="minorBidi" w:hAnsiTheme="minorBidi"/>
              </w:rPr>
            </w:pPr>
            <w:r w:rsidRPr="00C801C1">
              <w:rPr>
                <w:rFonts w:asciiTheme="minorBidi" w:hAnsiTheme="minorBidi"/>
              </w:rPr>
              <w:t>JJ</w:t>
            </w:r>
            <w:r w:rsidR="00D402F7" w:rsidRPr="00C801C1">
              <w:rPr>
                <w:rFonts w:asciiTheme="minorBidi" w:hAnsiTheme="minorBidi"/>
              </w:rPr>
              <w:t xml:space="preserve"> noted in the chat that for NICE, primary care is one of her </w:t>
            </w:r>
            <w:r w:rsidR="00CE11E7" w:rsidRPr="00C801C1">
              <w:rPr>
                <w:rFonts w:asciiTheme="minorBidi" w:hAnsiTheme="minorBidi"/>
              </w:rPr>
              <w:t>team’s</w:t>
            </w:r>
            <w:r w:rsidR="00D402F7" w:rsidRPr="00C801C1">
              <w:rPr>
                <w:rFonts w:asciiTheme="minorBidi" w:hAnsiTheme="minorBidi"/>
              </w:rPr>
              <w:t xml:space="preserve"> priority areas </w:t>
            </w:r>
            <w:r w:rsidR="000D44B0" w:rsidRPr="00C801C1">
              <w:rPr>
                <w:rFonts w:asciiTheme="minorBidi" w:hAnsiTheme="minorBidi"/>
              </w:rPr>
              <w:t>for targeted implementation support for 2025/26</w:t>
            </w:r>
            <w:r w:rsidR="00802A27" w:rsidRPr="00C801C1">
              <w:rPr>
                <w:rFonts w:asciiTheme="minorBidi" w:hAnsiTheme="minorBidi"/>
              </w:rPr>
              <w:t>. This decision aligns with the 10 Year Health Plan</w:t>
            </w:r>
            <w:r w:rsidR="00D414BE" w:rsidRPr="00C801C1">
              <w:rPr>
                <w:rFonts w:asciiTheme="minorBidi" w:hAnsiTheme="minorBidi"/>
              </w:rPr>
              <w:t xml:space="preserve"> and the </w:t>
            </w:r>
            <w:r w:rsidR="004A2091" w:rsidRPr="00C801C1">
              <w:rPr>
                <w:rFonts w:asciiTheme="minorBidi" w:hAnsiTheme="minorBidi"/>
              </w:rPr>
              <w:t>broader</w:t>
            </w:r>
            <w:r w:rsidR="00D414BE" w:rsidRPr="00C801C1">
              <w:rPr>
                <w:rFonts w:asciiTheme="minorBidi" w:hAnsiTheme="minorBidi"/>
              </w:rPr>
              <w:t xml:space="preserve"> shift “from hospital to community”, with a focus on helping primary care teams apply NICE guidance in ways that improve care</w:t>
            </w:r>
            <w:r w:rsidR="004A2091" w:rsidRPr="00C801C1">
              <w:rPr>
                <w:rFonts w:asciiTheme="minorBidi" w:hAnsiTheme="minorBidi"/>
              </w:rPr>
              <w:t xml:space="preserve"> quality and outcomes for their local populations. </w:t>
            </w:r>
          </w:p>
          <w:p w14:paraId="66898AFC" w14:textId="0D2AB418" w:rsidR="002E1D4A" w:rsidRPr="00C801C1" w:rsidRDefault="002E1D4A" w:rsidP="002E1D4A">
            <w:pPr>
              <w:spacing w:after="160" w:line="278" w:lineRule="auto"/>
              <w:rPr>
                <w:rFonts w:asciiTheme="minorBidi" w:hAnsiTheme="minorBidi"/>
              </w:rPr>
            </w:pPr>
            <w:r w:rsidRPr="00C801C1">
              <w:rPr>
                <w:rFonts w:asciiTheme="minorBidi" w:hAnsiTheme="minorBidi"/>
              </w:rPr>
              <w:t>NP supported the idea of improving access to mental health services, particularly through walk-in models that have proven effective in other countries. He also proposed repurposing vacant retail spaces in shopping centres as community health hubs, citing their accessibility and central location.</w:t>
            </w:r>
            <w:r w:rsidR="00A20E3C" w:rsidRPr="00C801C1">
              <w:rPr>
                <w:rFonts w:asciiTheme="minorBidi" w:hAnsiTheme="minorBidi"/>
              </w:rPr>
              <w:t xml:space="preserve"> MC </w:t>
            </w:r>
            <w:r w:rsidR="003478AB" w:rsidRPr="00C801C1">
              <w:rPr>
                <w:rFonts w:asciiTheme="minorBidi" w:hAnsiTheme="minorBidi"/>
              </w:rPr>
              <w:t>mentioned</w:t>
            </w:r>
            <w:r w:rsidR="00A20E3C" w:rsidRPr="00C801C1">
              <w:rPr>
                <w:rFonts w:asciiTheme="minorBidi" w:hAnsiTheme="minorBidi"/>
              </w:rPr>
              <w:t xml:space="preserve"> in the chat that </w:t>
            </w:r>
            <w:r w:rsidR="00C67445" w:rsidRPr="00C801C1">
              <w:rPr>
                <w:rFonts w:asciiTheme="minorBidi" w:hAnsiTheme="minorBidi"/>
              </w:rPr>
              <w:t>using vacant retail spaces</w:t>
            </w:r>
            <w:r w:rsidR="00A20E3C" w:rsidRPr="00C801C1">
              <w:rPr>
                <w:rFonts w:asciiTheme="minorBidi" w:hAnsiTheme="minorBidi"/>
              </w:rPr>
              <w:t xml:space="preserve"> was also used in </w:t>
            </w:r>
            <w:r w:rsidR="00DB29CF" w:rsidRPr="00C801C1">
              <w:rPr>
                <w:rFonts w:asciiTheme="minorBidi" w:hAnsiTheme="minorBidi"/>
              </w:rPr>
              <w:t>Oxford but</w:t>
            </w:r>
            <w:r w:rsidR="003478AB" w:rsidRPr="00C801C1">
              <w:rPr>
                <w:rFonts w:asciiTheme="minorBidi" w:hAnsiTheme="minorBidi"/>
              </w:rPr>
              <w:t xml:space="preserve"> added that we need to be </w:t>
            </w:r>
            <w:r w:rsidR="00C67445" w:rsidRPr="00C801C1">
              <w:rPr>
                <w:rFonts w:asciiTheme="minorBidi" w:hAnsiTheme="minorBidi"/>
              </w:rPr>
              <w:t xml:space="preserve">mindful of where mental health </w:t>
            </w:r>
            <w:r w:rsidR="00015E51" w:rsidRPr="00C801C1">
              <w:rPr>
                <w:rFonts w:asciiTheme="minorBidi" w:hAnsiTheme="minorBidi"/>
              </w:rPr>
              <w:t xml:space="preserve">emergency departments are used to ensure that patients are not </w:t>
            </w:r>
            <w:r w:rsidR="002E4B13" w:rsidRPr="00C801C1">
              <w:rPr>
                <w:rFonts w:asciiTheme="minorBidi" w:hAnsiTheme="minorBidi"/>
              </w:rPr>
              <w:t>b</w:t>
            </w:r>
            <w:r w:rsidR="00015E51" w:rsidRPr="00C801C1">
              <w:rPr>
                <w:rFonts w:asciiTheme="minorBidi" w:hAnsiTheme="minorBidi"/>
              </w:rPr>
              <w:t>eing conveyed</w:t>
            </w:r>
            <w:r w:rsidR="002E4B13" w:rsidRPr="00C801C1">
              <w:rPr>
                <w:rFonts w:asciiTheme="minorBidi" w:hAnsiTheme="minorBidi"/>
              </w:rPr>
              <w:t xml:space="preserve"> when they need physical healthcare. </w:t>
            </w:r>
            <w:r w:rsidR="00BC46AE" w:rsidRPr="00C801C1">
              <w:rPr>
                <w:rFonts w:asciiTheme="minorBidi" w:hAnsiTheme="minorBidi"/>
              </w:rPr>
              <w:t xml:space="preserve">Diagnostic </w:t>
            </w:r>
            <w:r w:rsidR="0040384E">
              <w:rPr>
                <w:rFonts w:asciiTheme="minorBidi" w:hAnsiTheme="minorBidi"/>
              </w:rPr>
              <w:t xml:space="preserve">access </w:t>
            </w:r>
            <w:r w:rsidR="00DB29CF" w:rsidRPr="00C801C1">
              <w:rPr>
                <w:rFonts w:asciiTheme="minorBidi" w:hAnsiTheme="minorBidi"/>
              </w:rPr>
              <w:t xml:space="preserve">remains a significant concern in these cases. </w:t>
            </w:r>
          </w:p>
          <w:p w14:paraId="16CA4916" w14:textId="7D0D84A8" w:rsidR="002E1D4A" w:rsidRPr="00C801C1" w:rsidRDefault="004A4CD1" w:rsidP="003F22A8">
            <w:pPr>
              <w:spacing w:after="160" w:line="278" w:lineRule="auto"/>
              <w:rPr>
                <w:rFonts w:asciiTheme="minorBidi" w:hAnsiTheme="minorBidi"/>
              </w:rPr>
            </w:pPr>
            <w:r w:rsidRPr="00C801C1">
              <w:rPr>
                <w:rFonts w:asciiTheme="minorBidi" w:hAnsiTheme="minorBidi"/>
              </w:rPr>
              <w:t xml:space="preserve">BD and PS both emphasised the importance of integrated digital systems and workforce planning based on competencies rather than job titles. BD warned against focusing solely </w:t>
            </w:r>
            <w:r w:rsidR="0040384E">
              <w:rPr>
                <w:rFonts w:asciiTheme="minorBidi" w:hAnsiTheme="minorBidi"/>
              </w:rPr>
              <w:t xml:space="preserve">on </w:t>
            </w:r>
            <w:r w:rsidRPr="00C801C1">
              <w:rPr>
                <w:rFonts w:asciiTheme="minorBidi" w:hAnsiTheme="minorBidi"/>
              </w:rPr>
              <w:t xml:space="preserve">service structures without addressing their function, while PS advocated for the inclusion of </w:t>
            </w:r>
            <w:r w:rsidRPr="00C801C1">
              <w:rPr>
                <w:rFonts w:asciiTheme="minorBidi" w:hAnsiTheme="minorBidi"/>
              </w:rPr>
              <w:lastRenderedPageBreak/>
              <w:t>SAS-grade doctors and basic diagnostic tools in community centres. PW ad</w:t>
            </w:r>
            <w:r w:rsidR="001E6240">
              <w:rPr>
                <w:rFonts w:asciiTheme="minorBidi" w:hAnsiTheme="minorBidi"/>
              </w:rPr>
              <w:t xml:space="preserve">vised </w:t>
            </w:r>
            <w:r w:rsidRPr="00C801C1">
              <w:rPr>
                <w:rFonts w:asciiTheme="minorBidi" w:hAnsiTheme="minorBidi"/>
              </w:rPr>
              <w:t>in the chat that even with immediate action, achieving this within the proposed timeframe would be challenging.</w:t>
            </w:r>
          </w:p>
        </w:tc>
      </w:tr>
      <w:tr w:rsidR="005636F6" w:rsidRPr="00C801C1" w14:paraId="7C460EB5" w14:textId="77777777" w:rsidTr="0091023F">
        <w:trPr>
          <w:trHeight w:val="283"/>
        </w:trPr>
        <w:tc>
          <w:tcPr>
            <w:tcW w:w="562" w:type="dxa"/>
          </w:tcPr>
          <w:p w14:paraId="6405E4A2" w14:textId="26DA6A46" w:rsidR="005636F6" w:rsidRPr="00C801C1" w:rsidRDefault="005636F6" w:rsidP="00F43D50">
            <w:pPr>
              <w:rPr>
                <w:rFonts w:asciiTheme="minorBidi" w:hAnsiTheme="minorBidi"/>
                <w:b/>
                <w:bCs/>
              </w:rPr>
            </w:pPr>
            <w:r w:rsidRPr="00C801C1">
              <w:rPr>
                <w:rFonts w:asciiTheme="minorBidi" w:hAnsiTheme="minorBidi"/>
                <w:b/>
                <w:bCs/>
              </w:rPr>
              <w:lastRenderedPageBreak/>
              <w:t>3.</w:t>
            </w:r>
          </w:p>
        </w:tc>
        <w:tc>
          <w:tcPr>
            <w:tcW w:w="15026" w:type="dxa"/>
          </w:tcPr>
          <w:p w14:paraId="3B5A434F" w14:textId="77777777" w:rsidR="005636F6" w:rsidRPr="00C801C1" w:rsidRDefault="00DE62B8" w:rsidP="00F43D50">
            <w:pPr>
              <w:rPr>
                <w:rFonts w:asciiTheme="minorBidi" w:hAnsiTheme="minorBidi"/>
                <w:b/>
                <w:bCs/>
                <w:u w:val="single"/>
              </w:rPr>
            </w:pPr>
            <w:r w:rsidRPr="00C801C1">
              <w:rPr>
                <w:rFonts w:asciiTheme="minorBidi" w:hAnsiTheme="minorBidi"/>
                <w:b/>
                <w:bCs/>
                <w:u w:val="single"/>
              </w:rPr>
              <w:t>Digital: Power in Your Hands</w:t>
            </w:r>
          </w:p>
          <w:p w14:paraId="1C9D94B5" w14:textId="77777777" w:rsidR="00217363" w:rsidRDefault="00217363" w:rsidP="00656702">
            <w:pPr>
              <w:rPr>
                <w:rFonts w:asciiTheme="minorBidi" w:hAnsiTheme="minorBidi"/>
              </w:rPr>
            </w:pPr>
          </w:p>
          <w:p w14:paraId="49EB6BFA" w14:textId="787E33FE" w:rsidR="00656702" w:rsidRPr="00C801C1" w:rsidRDefault="00656702" w:rsidP="00656702">
            <w:pPr>
              <w:rPr>
                <w:rFonts w:asciiTheme="minorBidi" w:hAnsiTheme="minorBidi"/>
              </w:rPr>
            </w:pPr>
            <w:r w:rsidRPr="00C801C1">
              <w:rPr>
                <w:rFonts w:asciiTheme="minorBidi" w:hAnsiTheme="minorBidi"/>
              </w:rPr>
              <w:t>The second major discussion centred on the digital ambitions of the 10-Year Plan. MAE outlined the plan’s vision for the NHS App as a central tool for patient engagement, enabling users to book appointments, access test results, manage medications, and coordinate care. The plan also calls for the creation of a single patient record and a “Health Store” of approved digital tools.</w:t>
            </w:r>
          </w:p>
          <w:p w14:paraId="736CD610" w14:textId="77777777" w:rsidR="00656702" w:rsidRPr="00C801C1" w:rsidRDefault="00656702" w:rsidP="00656702">
            <w:pPr>
              <w:rPr>
                <w:rFonts w:asciiTheme="minorBidi" w:hAnsiTheme="minorBidi"/>
              </w:rPr>
            </w:pPr>
          </w:p>
          <w:p w14:paraId="6F14F740" w14:textId="0729A69F" w:rsidR="00756E79" w:rsidRPr="00C801C1" w:rsidRDefault="004B34FB" w:rsidP="002806DD">
            <w:pPr>
              <w:spacing w:after="160" w:line="278" w:lineRule="auto"/>
              <w:rPr>
                <w:rFonts w:asciiTheme="minorBidi" w:hAnsiTheme="minorBidi"/>
              </w:rPr>
            </w:pPr>
            <w:r w:rsidRPr="00C801C1">
              <w:rPr>
                <w:rFonts w:asciiTheme="minorBidi" w:hAnsiTheme="minorBidi"/>
                <w:b/>
                <w:bCs/>
                <w:i/>
                <w:iCs/>
              </w:rPr>
              <w:t>Discussion:</w:t>
            </w:r>
            <w:r w:rsidR="00C87580">
              <w:rPr>
                <w:rFonts w:asciiTheme="minorBidi" w:hAnsiTheme="minorBidi"/>
                <w:b/>
                <w:bCs/>
                <w:i/>
                <w:iCs/>
              </w:rPr>
              <w:br/>
            </w:r>
            <w:r w:rsidR="00756E79" w:rsidRPr="00C801C1">
              <w:rPr>
                <w:rFonts w:asciiTheme="minorBidi" w:hAnsiTheme="minorBidi"/>
              </w:rPr>
              <w:t>LS noted that the current version of the app is not user-friendly and shared an example where a prescription was declined by the GP, but still appeared ready for collection in the pharmacy, highlighting the need for better system alignment. It was also noted that while digital tools can help free up time, they must not become the only route to care. Clinicians should continue to provide the same level of care regardless of how patients access services.</w:t>
            </w:r>
          </w:p>
          <w:p w14:paraId="75B7817F" w14:textId="11C3F094" w:rsidR="002B10CF" w:rsidRPr="00C801C1" w:rsidRDefault="004B34FB" w:rsidP="009B4125">
            <w:pPr>
              <w:rPr>
                <w:rFonts w:asciiTheme="minorBidi" w:hAnsiTheme="minorBidi"/>
              </w:rPr>
            </w:pPr>
            <w:r w:rsidRPr="00C801C1">
              <w:rPr>
                <w:rFonts w:asciiTheme="minorBidi" w:hAnsiTheme="minorBidi"/>
              </w:rPr>
              <w:t>DR</w:t>
            </w:r>
            <w:r w:rsidR="00656702" w:rsidRPr="00C801C1">
              <w:rPr>
                <w:rFonts w:asciiTheme="minorBidi" w:hAnsiTheme="minorBidi"/>
              </w:rPr>
              <w:t xml:space="preserve"> </w:t>
            </w:r>
            <w:r w:rsidR="00674AF3" w:rsidRPr="00C801C1">
              <w:rPr>
                <w:rFonts w:asciiTheme="minorBidi" w:hAnsiTheme="minorBidi"/>
              </w:rPr>
              <w:t>referenced a quote from a Deputy Director of Digital Strategy in NHSE “</w:t>
            </w:r>
            <w:r w:rsidR="00674AF3" w:rsidRPr="00C801C1">
              <w:rPr>
                <w:rFonts w:asciiTheme="minorBidi" w:hAnsiTheme="minorBidi"/>
                <w:i/>
                <w:iCs/>
              </w:rPr>
              <w:t>Digital first, not digital only</w:t>
            </w:r>
            <w:r w:rsidR="00674AF3" w:rsidRPr="00C801C1">
              <w:rPr>
                <w:rFonts w:asciiTheme="minorBidi" w:hAnsiTheme="minorBidi"/>
              </w:rPr>
              <w:t xml:space="preserve">” to emphasise the importance of digital inclusion. She also </w:t>
            </w:r>
            <w:r w:rsidR="00656702" w:rsidRPr="00C801C1">
              <w:rPr>
                <w:rFonts w:asciiTheme="minorBidi" w:hAnsiTheme="minorBidi"/>
              </w:rPr>
              <w:t xml:space="preserve">highlighted that access to features varies depending on local settings, </w:t>
            </w:r>
            <w:r w:rsidR="004B5A0E" w:rsidRPr="00C801C1">
              <w:rPr>
                <w:rFonts w:asciiTheme="minorBidi" w:hAnsiTheme="minorBidi"/>
              </w:rPr>
              <w:t>which can lead</w:t>
            </w:r>
            <w:r w:rsidR="00656702" w:rsidRPr="00C801C1">
              <w:rPr>
                <w:rFonts w:asciiTheme="minorBidi" w:hAnsiTheme="minorBidi"/>
              </w:rPr>
              <w:t xml:space="preserve"> to confusion and frustration </w:t>
            </w:r>
            <w:r w:rsidR="009B4125" w:rsidRPr="00C801C1">
              <w:rPr>
                <w:rFonts w:asciiTheme="minorBidi" w:hAnsiTheme="minorBidi"/>
              </w:rPr>
              <w:t>for</w:t>
            </w:r>
            <w:r w:rsidR="00656702" w:rsidRPr="00C801C1">
              <w:rPr>
                <w:rFonts w:asciiTheme="minorBidi" w:hAnsiTheme="minorBidi"/>
              </w:rPr>
              <w:t xml:space="preserve"> patients.</w:t>
            </w:r>
            <w:r w:rsidR="00F102D6" w:rsidRPr="00C801C1">
              <w:rPr>
                <w:rFonts w:asciiTheme="minorBidi" w:hAnsiTheme="minorBidi"/>
              </w:rPr>
              <w:t xml:space="preserve"> </w:t>
            </w:r>
            <w:r w:rsidR="00D52986" w:rsidRPr="00C801C1">
              <w:rPr>
                <w:rFonts w:asciiTheme="minorBidi" w:hAnsiTheme="minorBidi"/>
              </w:rPr>
              <w:t xml:space="preserve">The level of access a patient has to their health information on the NHS App should be </w:t>
            </w:r>
            <w:r w:rsidR="00AD32CB" w:rsidRPr="00C801C1">
              <w:rPr>
                <w:rFonts w:asciiTheme="minorBidi" w:hAnsiTheme="minorBidi"/>
              </w:rPr>
              <w:t xml:space="preserve">consistent, irrespective of where you are based. </w:t>
            </w:r>
          </w:p>
          <w:p w14:paraId="61DA73EC" w14:textId="77777777" w:rsidR="002A24BF" w:rsidRPr="00C801C1" w:rsidRDefault="002A24BF" w:rsidP="009B4125">
            <w:pPr>
              <w:rPr>
                <w:rFonts w:asciiTheme="minorBidi" w:hAnsiTheme="minorBidi"/>
              </w:rPr>
            </w:pPr>
          </w:p>
          <w:p w14:paraId="0E8684B2" w14:textId="74957459" w:rsidR="002A24BF" w:rsidRPr="00C801C1" w:rsidRDefault="007014CC" w:rsidP="009B4125">
            <w:pPr>
              <w:rPr>
                <w:rFonts w:asciiTheme="minorBidi" w:hAnsiTheme="minorBidi"/>
              </w:rPr>
            </w:pPr>
            <w:r w:rsidRPr="00C801C1">
              <w:rPr>
                <w:rFonts w:asciiTheme="minorBidi" w:hAnsiTheme="minorBidi"/>
              </w:rPr>
              <w:t xml:space="preserve">RW </w:t>
            </w:r>
            <w:r w:rsidR="00BB6E21" w:rsidRPr="00C801C1">
              <w:rPr>
                <w:rFonts w:asciiTheme="minorBidi" w:hAnsiTheme="minorBidi"/>
              </w:rPr>
              <w:t>responded</w:t>
            </w:r>
            <w:r w:rsidRPr="00C801C1">
              <w:rPr>
                <w:rFonts w:asciiTheme="minorBidi" w:hAnsiTheme="minorBidi"/>
              </w:rPr>
              <w:t xml:space="preserve"> in the chat that patient access to records varies because GPs are the legal data controllers for the records they hold</w:t>
            </w:r>
            <w:r w:rsidR="00CA2BE9" w:rsidRPr="00C801C1">
              <w:rPr>
                <w:rFonts w:asciiTheme="minorBidi" w:hAnsiTheme="minorBidi"/>
              </w:rPr>
              <w:t xml:space="preserve">, meaning that they are individually responsible for safeguarding the information, assessing risk, and ensuring </w:t>
            </w:r>
            <w:r w:rsidR="00DB3415" w:rsidRPr="00C801C1">
              <w:rPr>
                <w:rFonts w:asciiTheme="minorBidi" w:hAnsiTheme="minorBidi"/>
              </w:rPr>
              <w:t>that access does not cause harm, or breach confidentiality.</w:t>
            </w:r>
            <w:r w:rsidR="008B6A35">
              <w:rPr>
                <w:rFonts w:asciiTheme="minorBidi" w:hAnsiTheme="minorBidi"/>
              </w:rPr>
              <w:t xml:space="preserve"> </w:t>
            </w:r>
            <w:r w:rsidR="00DB3415" w:rsidRPr="00C801C1">
              <w:rPr>
                <w:rFonts w:asciiTheme="minorBidi" w:hAnsiTheme="minorBidi"/>
              </w:rPr>
              <w:t>As such, each GP or practice must use clinical judgement to decide what is appropriate to share, which can lead to variation across practices. The responsibility and liability sits with the GP</w:t>
            </w:r>
            <w:r w:rsidR="00674AF3" w:rsidRPr="00C801C1">
              <w:rPr>
                <w:rFonts w:asciiTheme="minorBidi" w:hAnsiTheme="minorBidi"/>
              </w:rPr>
              <w:t xml:space="preserve"> and</w:t>
            </w:r>
            <w:r w:rsidR="00DB3415" w:rsidRPr="00C801C1">
              <w:rPr>
                <w:rFonts w:asciiTheme="minorBidi" w:hAnsiTheme="minorBidi"/>
              </w:rPr>
              <w:t xml:space="preserve"> not the system.</w:t>
            </w:r>
          </w:p>
          <w:p w14:paraId="392521A8" w14:textId="77777777" w:rsidR="002B10CF" w:rsidRPr="00C801C1" w:rsidRDefault="002B10CF" w:rsidP="009B4125">
            <w:pPr>
              <w:rPr>
                <w:rFonts w:asciiTheme="minorBidi" w:hAnsiTheme="minorBidi"/>
              </w:rPr>
            </w:pPr>
          </w:p>
          <w:p w14:paraId="6F435D5E" w14:textId="77777777" w:rsidR="007345D1" w:rsidRPr="00C801C1" w:rsidRDefault="002B10CF" w:rsidP="007345D1">
            <w:pPr>
              <w:rPr>
                <w:rFonts w:asciiTheme="minorBidi" w:hAnsiTheme="minorBidi"/>
              </w:rPr>
            </w:pPr>
            <w:r w:rsidRPr="00C801C1">
              <w:rPr>
                <w:rFonts w:asciiTheme="minorBidi" w:hAnsiTheme="minorBidi"/>
              </w:rPr>
              <w:t xml:space="preserve">PW noted in the chat that whilst </w:t>
            </w:r>
            <w:r w:rsidR="007B0659" w:rsidRPr="00C801C1">
              <w:rPr>
                <w:rFonts w:asciiTheme="minorBidi" w:hAnsiTheme="minorBidi"/>
              </w:rPr>
              <w:t xml:space="preserve">he </w:t>
            </w:r>
            <w:r w:rsidR="00513D69" w:rsidRPr="00C801C1">
              <w:rPr>
                <w:rFonts w:asciiTheme="minorBidi" w:hAnsiTheme="minorBidi"/>
              </w:rPr>
              <w:t>personally</w:t>
            </w:r>
            <w:r w:rsidR="007B0659" w:rsidRPr="00C801C1">
              <w:rPr>
                <w:rFonts w:asciiTheme="minorBidi" w:hAnsiTheme="minorBidi"/>
              </w:rPr>
              <w:t xml:space="preserve"> finds the </w:t>
            </w:r>
            <w:r w:rsidR="00513D69" w:rsidRPr="00C801C1">
              <w:rPr>
                <w:rFonts w:asciiTheme="minorBidi" w:hAnsiTheme="minorBidi"/>
              </w:rPr>
              <w:t>NHS A</w:t>
            </w:r>
            <w:r w:rsidR="007B0659" w:rsidRPr="00C801C1">
              <w:rPr>
                <w:rFonts w:asciiTheme="minorBidi" w:hAnsiTheme="minorBidi"/>
              </w:rPr>
              <w:t xml:space="preserve">pp useful, he </w:t>
            </w:r>
            <w:r w:rsidR="00513D69" w:rsidRPr="00C801C1">
              <w:rPr>
                <w:rFonts w:asciiTheme="minorBidi" w:hAnsiTheme="minorBidi"/>
              </w:rPr>
              <w:t>has been unable to persuade</w:t>
            </w:r>
            <w:r w:rsidR="007B0659" w:rsidRPr="00C801C1">
              <w:rPr>
                <w:rFonts w:asciiTheme="minorBidi" w:hAnsiTheme="minorBidi"/>
              </w:rPr>
              <w:t xml:space="preserve"> his parents to use it</w:t>
            </w:r>
            <w:r w:rsidR="00A375AE" w:rsidRPr="00C801C1">
              <w:rPr>
                <w:rFonts w:asciiTheme="minorBidi" w:hAnsiTheme="minorBidi"/>
              </w:rPr>
              <w:t xml:space="preserve"> - this will remain the case for a significant portion of the population, including those with disabilities unable to use this interface.</w:t>
            </w:r>
            <w:r w:rsidR="00ED14D2" w:rsidRPr="00C801C1">
              <w:rPr>
                <w:rFonts w:asciiTheme="minorBidi" w:hAnsiTheme="minorBidi"/>
              </w:rPr>
              <w:t xml:space="preserve"> </w:t>
            </w:r>
            <w:r w:rsidR="000541F1" w:rsidRPr="00C801C1">
              <w:rPr>
                <w:rFonts w:asciiTheme="minorBidi" w:hAnsiTheme="minorBidi"/>
              </w:rPr>
              <w:t xml:space="preserve">KD </w:t>
            </w:r>
            <w:r w:rsidR="00C17484" w:rsidRPr="00C801C1">
              <w:rPr>
                <w:rFonts w:asciiTheme="minorBidi" w:hAnsiTheme="minorBidi"/>
              </w:rPr>
              <w:t>added that in Paignton, around 3,000 patients recently received Covid boosters through the library, many of whom were elderly and lacked up-to-date mobile phones or any phone at all. Healthwatch Devon, Plymouth and Torbay have responded by hiring a trainee to support digital transition, recognising that these individuals are often the most frequent users of health services.</w:t>
            </w:r>
          </w:p>
          <w:p w14:paraId="700ADC2C" w14:textId="77777777" w:rsidR="007345D1" w:rsidRPr="00C801C1" w:rsidRDefault="007345D1" w:rsidP="007345D1">
            <w:pPr>
              <w:rPr>
                <w:rFonts w:asciiTheme="minorBidi" w:hAnsiTheme="minorBidi"/>
              </w:rPr>
            </w:pPr>
          </w:p>
          <w:p w14:paraId="320E6579" w14:textId="0661C68E" w:rsidR="0082626C" w:rsidRPr="00C801C1" w:rsidRDefault="001173EA" w:rsidP="007345D1">
            <w:pPr>
              <w:rPr>
                <w:rFonts w:asciiTheme="minorBidi" w:hAnsiTheme="minorBidi"/>
              </w:rPr>
            </w:pPr>
            <w:r w:rsidRPr="00C801C1">
              <w:rPr>
                <w:rFonts w:asciiTheme="minorBidi" w:hAnsiTheme="minorBidi"/>
              </w:rPr>
              <w:t>PW mentioned in the chat that at a recent scientific conference</w:t>
            </w:r>
            <w:r w:rsidR="00021F60" w:rsidRPr="00C801C1">
              <w:rPr>
                <w:rFonts w:asciiTheme="minorBidi" w:hAnsiTheme="minorBidi"/>
              </w:rPr>
              <w:t xml:space="preserve"> on AI raised the question as to whether patient consent is required for the use of AI on their data</w:t>
            </w:r>
            <w:r w:rsidR="006C4646" w:rsidRPr="00C801C1">
              <w:rPr>
                <w:rFonts w:asciiTheme="minorBidi" w:hAnsiTheme="minorBidi"/>
              </w:rPr>
              <w:t xml:space="preserve">, particularly considering GDPR. </w:t>
            </w:r>
          </w:p>
          <w:p w14:paraId="229BBF2A" w14:textId="77777777" w:rsidR="00B81EB2" w:rsidRPr="00C801C1" w:rsidRDefault="00B81EB2" w:rsidP="00656702">
            <w:pPr>
              <w:rPr>
                <w:rFonts w:asciiTheme="minorBidi" w:hAnsiTheme="minorBidi"/>
              </w:rPr>
            </w:pPr>
          </w:p>
          <w:p w14:paraId="22344BC8" w14:textId="436F6A0E" w:rsidR="00656702" w:rsidRPr="00C801C1" w:rsidRDefault="00656702" w:rsidP="00656702">
            <w:pPr>
              <w:rPr>
                <w:rFonts w:asciiTheme="minorBidi" w:hAnsiTheme="minorBidi"/>
              </w:rPr>
            </w:pPr>
            <w:r w:rsidRPr="00C801C1">
              <w:rPr>
                <w:rFonts w:asciiTheme="minorBidi" w:hAnsiTheme="minorBidi"/>
              </w:rPr>
              <w:t xml:space="preserve">BD </w:t>
            </w:r>
            <w:r w:rsidR="00B85E61" w:rsidRPr="00C801C1">
              <w:rPr>
                <w:rFonts w:asciiTheme="minorBidi" w:hAnsiTheme="minorBidi"/>
              </w:rPr>
              <w:t xml:space="preserve">raised concerns about the limited focus on the clinician and service provider experience within digital </w:t>
            </w:r>
            <w:r w:rsidR="00A81D63" w:rsidRPr="00C801C1">
              <w:rPr>
                <w:rFonts w:asciiTheme="minorBidi" w:hAnsiTheme="minorBidi"/>
              </w:rPr>
              <w:t>systems and</w:t>
            </w:r>
            <w:r w:rsidR="00B85E61" w:rsidRPr="00C801C1">
              <w:rPr>
                <w:rFonts w:asciiTheme="minorBidi" w:hAnsiTheme="minorBidi"/>
              </w:rPr>
              <w:t xml:space="preserve"> questioned how these systems might integrate with private or commercial healthcare providers, such as local pharmacies. MAE </w:t>
            </w:r>
            <w:r w:rsidR="00BC1B27" w:rsidRPr="00C801C1">
              <w:rPr>
                <w:rFonts w:asciiTheme="minorBidi" w:hAnsiTheme="minorBidi"/>
              </w:rPr>
              <w:t xml:space="preserve">agreed emphasising the need for coordination across various services and agencies, noting that digital tools must support seamless delivery across health and </w:t>
            </w:r>
            <w:r w:rsidR="00BC1B27" w:rsidRPr="00C801C1">
              <w:rPr>
                <w:rFonts w:asciiTheme="minorBidi" w:hAnsiTheme="minorBidi"/>
              </w:rPr>
              <w:lastRenderedPageBreak/>
              <w:t xml:space="preserve">social care. </w:t>
            </w:r>
            <w:r w:rsidR="00B81EB2" w:rsidRPr="00C801C1">
              <w:rPr>
                <w:rFonts w:asciiTheme="minorBidi" w:hAnsiTheme="minorBidi"/>
              </w:rPr>
              <w:br/>
            </w:r>
          </w:p>
          <w:p w14:paraId="4B4C092E" w14:textId="722315DA" w:rsidR="00656702" w:rsidRPr="00C801C1" w:rsidRDefault="00B81EB2" w:rsidP="00656702">
            <w:pPr>
              <w:rPr>
                <w:rFonts w:asciiTheme="minorBidi" w:hAnsiTheme="minorBidi"/>
              </w:rPr>
            </w:pPr>
            <w:r w:rsidRPr="00C801C1">
              <w:rPr>
                <w:rFonts w:asciiTheme="minorBidi" w:hAnsiTheme="minorBidi"/>
              </w:rPr>
              <w:t>AL</w:t>
            </w:r>
            <w:r w:rsidR="00A81D63" w:rsidRPr="00C801C1">
              <w:rPr>
                <w:rFonts w:asciiTheme="minorBidi" w:hAnsiTheme="minorBidi"/>
              </w:rPr>
              <w:t xml:space="preserve"> </w:t>
            </w:r>
            <w:r w:rsidR="0090422D" w:rsidRPr="00C801C1">
              <w:rPr>
                <w:rFonts w:asciiTheme="minorBidi" w:hAnsiTheme="minorBidi"/>
              </w:rPr>
              <w:t xml:space="preserve">highlighted the importance of ensuring that patient-facing data is accurately and efficiently uploaded by clinicians, warning that manual data entry could lead to gaps in patient records. She echoed concerns about the lack of clarity on implementation, suggesting that without proper coordination, the system may fall short of its potential. MAE added that </w:t>
            </w:r>
            <w:r w:rsidR="00A81D63" w:rsidRPr="00C801C1">
              <w:rPr>
                <w:rFonts w:asciiTheme="minorBidi" w:hAnsiTheme="minorBidi"/>
              </w:rPr>
              <w:t>significant digital expertise will be required within the NH</w:t>
            </w:r>
            <w:r w:rsidR="00E867C6" w:rsidRPr="00C801C1">
              <w:rPr>
                <w:rFonts w:asciiTheme="minorBidi" w:hAnsiTheme="minorBidi"/>
              </w:rPr>
              <w:t>S</w:t>
            </w:r>
            <w:r w:rsidR="00A81D63" w:rsidRPr="00C801C1">
              <w:rPr>
                <w:rFonts w:asciiTheme="minorBidi" w:hAnsiTheme="minorBidi"/>
              </w:rPr>
              <w:t xml:space="preserve">, both in technical roles and among clinicians, and acknowledged the challenges in recruiting due to competition with industry salaries. </w:t>
            </w:r>
          </w:p>
          <w:p w14:paraId="1D62B9C2" w14:textId="77777777" w:rsidR="007A7B5D" w:rsidRPr="00C801C1" w:rsidRDefault="007A7B5D" w:rsidP="00656702">
            <w:pPr>
              <w:rPr>
                <w:rFonts w:asciiTheme="minorBidi" w:hAnsiTheme="minorBidi"/>
              </w:rPr>
            </w:pPr>
          </w:p>
          <w:p w14:paraId="29E4E69B" w14:textId="0D2A8245" w:rsidR="007A7B5D" w:rsidRPr="00C801C1" w:rsidRDefault="007A7B5D" w:rsidP="00AB108E">
            <w:pPr>
              <w:rPr>
                <w:rFonts w:asciiTheme="minorBidi" w:hAnsiTheme="minorBidi"/>
              </w:rPr>
            </w:pPr>
            <w:r w:rsidRPr="00C801C1">
              <w:rPr>
                <w:rFonts w:asciiTheme="minorBidi" w:hAnsiTheme="minorBidi"/>
              </w:rPr>
              <w:t>P</w:t>
            </w:r>
            <w:r w:rsidR="00AB108E" w:rsidRPr="00C801C1">
              <w:rPr>
                <w:rFonts w:asciiTheme="minorBidi" w:hAnsiTheme="minorBidi"/>
              </w:rPr>
              <w:t>W</w:t>
            </w:r>
            <w:r w:rsidRPr="00C801C1">
              <w:rPr>
                <w:rFonts w:asciiTheme="minorBidi" w:hAnsiTheme="minorBidi"/>
              </w:rPr>
              <w:t xml:space="preserve"> commented in the chat that i</w:t>
            </w:r>
            <w:r w:rsidR="00AB108E" w:rsidRPr="00C801C1">
              <w:rPr>
                <w:rFonts w:asciiTheme="minorBidi" w:hAnsiTheme="minorBidi"/>
              </w:rPr>
              <w:t>f</w:t>
            </w:r>
            <w:r w:rsidRPr="00C801C1">
              <w:rPr>
                <w:rFonts w:asciiTheme="minorBidi" w:hAnsiTheme="minorBidi"/>
              </w:rPr>
              <w:t xml:space="preserve"> there is no coherent workforce and accommodation plan in place, then delivering this in the next 5 years</w:t>
            </w:r>
            <w:r w:rsidR="00AB108E" w:rsidRPr="00C801C1">
              <w:rPr>
                <w:rFonts w:asciiTheme="minorBidi" w:hAnsiTheme="minorBidi"/>
              </w:rPr>
              <w:t xml:space="preserve"> will not be achievable.</w:t>
            </w:r>
          </w:p>
          <w:p w14:paraId="4A9A3CD0" w14:textId="77777777" w:rsidR="00B81EB2" w:rsidRPr="00C801C1" w:rsidRDefault="00B81EB2" w:rsidP="00656702">
            <w:pPr>
              <w:rPr>
                <w:rFonts w:asciiTheme="minorBidi" w:hAnsiTheme="minorBidi"/>
              </w:rPr>
            </w:pPr>
          </w:p>
          <w:p w14:paraId="3F08F52A" w14:textId="2AA0D4AD" w:rsidR="00656702" w:rsidRPr="00C801C1" w:rsidRDefault="00F02D8F" w:rsidP="00FD4386">
            <w:pPr>
              <w:rPr>
                <w:rFonts w:asciiTheme="minorBidi" w:hAnsiTheme="minorBidi"/>
              </w:rPr>
            </w:pPr>
            <w:r w:rsidRPr="00C801C1">
              <w:rPr>
                <w:rFonts w:asciiTheme="minorBidi" w:hAnsiTheme="minorBidi"/>
              </w:rPr>
              <w:t>MC</w:t>
            </w:r>
            <w:r w:rsidR="00FD4386" w:rsidRPr="00C801C1">
              <w:rPr>
                <w:rFonts w:asciiTheme="minorBidi" w:hAnsiTheme="minorBidi"/>
                <w:color w:val="424242"/>
                <w:shd w:val="clear" w:color="auto" w:fill="FAFAFA"/>
              </w:rPr>
              <w:t xml:space="preserve"> </w:t>
            </w:r>
            <w:r w:rsidR="00FD4386" w:rsidRPr="00C801C1">
              <w:rPr>
                <w:rFonts w:asciiTheme="minorBidi" w:hAnsiTheme="minorBidi"/>
              </w:rPr>
              <w:t>supported these points, noting that current IT systems</w:t>
            </w:r>
            <w:r w:rsidR="003E15C4" w:rsidRPr="00C801C1">
              <w:rPr>
                <w:rFonts w:asciiTheme="minorBidi" w:hAnsiTheme="minorBidi"/>
              </w:rPr>
              <w:t>, p</w:t>
            </w:r>
            <w:r w:rsidR="00FD4386" w:rsidRPr="00C801C1">
              <w:rPr>
                <w:rFonts w:asciiTheme="minorBidi" w:hAnsiTheme="minorBidi"/>
              </w:rPr>
              <w:t>articularly in children’s service</w:t>
            </w:r>
            <w:r w:rsidR="003E15C4" w:rsidRPr="00C801C1">
              <w:rPr>
                <w:rFonts w:asciiTheme="minorBidi" w:hAnsiTheme="minorBidi"/>
              </w:rPr>
              <w:t xml:space="preserve">s, </w:t>
            </w:r>
            <w:r w:rsidR="00FD4386" w:rsidRPr="00C801C1">
              <w:rPr>
                <w:rFonts w:asciiTheme="minorBidi" w:hAnsiTheme="minorBidi"/>
              </w:rPr>
              <w:t>do not communicate effectively. She shared an example of prescription access issues linked to asthma reviews and GP appointment availability, illustrating how digital and access challenges are interconnected</w:t>
            </w:r>
            <w:r w:rsidR="00206D4C" w:rsidRPr="00C801C1">
              <w:rPr>
                <w:rFonts w:asciiTheme="minorBidi" w:hAnsiTheme="minorBidi"/>
              </w:rPr>
              <w:t xml:space="preserve">. </w:t>
            </w:r>
            <w:r w:rsidRPr="00C801C1">
              <w:rPr>
                <w:rFonts w:asciiTheme="minorBidi" w:hAnsiTheme="minorBidi"/>
              </w:rPr>
              <w:t>RR</w:t>
            </w:r>
            <w:r w:rsidR="00656702" w:rsidRPr="00C801C1">
              <w:rPr>
                <w:rFonts w:asciiTheme="minorBidi" w:hAnsiTheme="minorBidi"/>
              </w:rPr>
              <w:t xml:space="preserve"> emphasised the need for cross-agency collaboration and warned that digital transformation must not exacerbate existing inequalities.</w:t>
            </w:r>
          </w:p>
          <w:p w14:paraId="39C530A8" w14:textId="77777777" w:rsidR="00B739FB" w:rsidRPr="00C801C1" w:rsidRDefault="00B739FB" w:rsidP="00FD4386">
            <w:pPr>
              <w:rPr>
                <w:rFonts w:asciiTheme="minorBidi" w:hAnsiTheme="minorBidi"/>
              </w:rPr>
            </w:pPr>
          </w:p>
          <w:p w14:paraId="04642E1A" w14:textId="30E2914D" w:rsidR="002A24BF" w:rsidRPr="00C801C1" w:rsidRDefault="0058024D" w:rsidP="000046D3">
            <w:pPr>
              <w:rPr>
                <w:rFonts w:asciiTheme="minorBidi" w:hAnsiTheme="minorBidi"/>
              </w:rPr>
            </w:pPr>
            <w:r w:rsidRPr="00C801C1">
              <w:rPr>
                <w:rFonts w:asciiTheme="minorBidi" w:hAnsiTheme="minorBidi"/>
              </w:rPr>
              <w:t>The conversation continued in the chat where several participants</w:t>
            </w:r>
            <w:r w:rsidR="003D7533" w:rsidRPr="00C801C1">
              <w:rPr>
                <w:rFonts w:asciiTheme="minorBidi" w:hAnsiTheme="minorBidi"/>
              </w:rPr>
              <w:t xml:space="preserve"> highlighted the importance of digital inclusion and infrastructure. Suggestions included upskilling the 5 million family carers and ensuring domiciliary care workers are digitally literate to better support those they care for. </w:t>
            </w:r>
            <w:r w:rsidR="00E95FC7" w:rsidRPr="00C801C1">
              <w:rPr>
                <w:rFonts w:asciiTheme="minorBidi" w:hAnsiTheme="minorBidi"/>
              </w:rPr>
              <w:t xml:space="preserve">BD suggested </w:t>
            </w:r>
            <w:r w:rsidR="003D7533" w:rsidRPr="00C801C1">
              <w:rPr>
                <w:rFonts w:asciiTheme="minorBidi" w:hAnsiTheme="minorBidi"/>
              </w:rPr>
              <w:t>developing an “ideal” digital architecture map to guide integration and planning. While the introduction of a single sign-on system was welcomed, it was noted that the overarching platform must also be fast, user-friendly, and fit for purpose. The idea of a dedicated digital care worker role was raised, and it was suggested that libraries could play a greater role in offering digital training and support to the public. Participants also noted that while much of the necessary technology already exists, public awareness and access remain limited. There was general agreement that these ideas are sensible and long overdue, though some acknowledged the practical challenges of implementation.</w:t>
            </w:r>
          </w:p>
          <w:p w14:paraId="65F30105" w14:textId="77777777" w:rsidR="000046D3" w:rsidRPr="00C801C1" w:rsidRDefault="000046D3" w:rsidP="000046D3">
            <w:pPr>
              <w:rPr>
                <w:rFonts w:asciiTheme="minorBidi" w:hAnsiTheme="minorBidi"/>
              </w:rPr>
            </w:pPr>
          </w:p>
          <w:p w14:paraId="21ECAC4C" w14:textId="77777777" w:rsidR="00633784" w:rsidRPr="00C801C1" w:rsidRDefault="00656702" w:rsidP="000046D3">
            <w:pPr>
              <w:rPr>
                <w:rFonts w:asciiTheme="minorBidi" w:hAnsiTheme="minorBidi"/>
              </w:rPr>
            </w:pPr>
            <w:r w:rsidRPr="00C801C1">
              <w:rPr>
                <w:rFonts w:asciiTheme="minorBidi" w:hAnsiTheme="minorBidi"/>
              </w:rPr>
              <w:t>The discussion concluded with a consensus that while digital tools offer significant potential, their implementation must be inclusive, interoperable, and supported by robust training for both patients and clinicians.</w:t>
            </w:r>
          </w:p>
          <w:p w14:paraId="51210EEA" w14:textId="1BC86AF2" w:rsidR="000046D3" w:rsidRPr="00C801C1" w:rsidRDefault="000046D3" w:rsidP="000046D3">
            <w:pPr>
              <w:rPr>
                <w:rFonts w:asciiTheme="minorBidi" w:hAnsiTheme="minorBidi"/>
                <w:b/>
                <w:bCs/>
                <w:u w:val="single"/>
              </w:rPr>
            </w:pPr>
          </w:p>
        </w:tc>
      </w:tr>
      <w:tr w:rsidR="005636F6" w:rsidRPr="00C801C1" w14:paraId="547AC3CB" w14:textId="77777777" w:rsidTr="0091023F">
        <w:trPr>
          <w:trHeight w:val="283"/>
        </w:trPr>
        <w:tc>
          <w:tcPr>
            <w:tcW w:w="562" w:type="dxa"/>
          </w:tcPr>
          <w:p w14:paraId="35389D39" w14:textId="3FE20D42" w:rsidR="005636F6" w:rsidRPr="00C801C1" w:rsidRDefault="005636F6" w:rsidP="00F43D50">
            <w:pPr>
              <w:rPr>
                <w:rFonts w:asciiTheme="minorBidi" w:hAnsiTheme="minorBidi"/>
                <w:b/>
                <w:bCs/>
              </w:rPr>
            </w:pPr>
            <w:r w:rsidRPr="00C801C1">
              <w:rPr>
                <w:rFonts w:asciiTheme="minorBidi" w:hAnsiTheme="minorBidi"/>
                <w:b/>
                <w:bCs/>
              </w:rPr>
              <w:lastRenderedPageBreak/>
              <w:t>4.</w:t>
            </w:r>
          </w:p>
        </w:tc>
        <w:tc>
          <w:tcPr>
            <w:tcW w:w="15026" w:type="dxa"/>
          </w:tcPr>
          <w:p w14:paraId="1167BD7C" w14:textId="77777777" w:rsidR="005636F6" w:rsidRPr="00C801C1" w:rsidRDefault="00F05928" w:rsidP="00F43D50">
            <w:pPr>
              <w:rPr>
                <w:rFonts w:asciiTheme="minorBidi" w:hAnsiTheme="minorBidi"/>
                <w:b/>
                <w:bCs/>
                <w:u w:val="single"/>
              </w:rPr>
            </w:pPr>
            <w:r w:rsidRPr="00C801C1">
              <w:rPr>
                <w:rFonts w:asciiTheme="minorBidi" w:hAnsiTheme="minorBidi"/>
                <w:b/>
                <w:bCs/>
                <w:u w:val="single"/>
              </w:rPr>
              <w:t>Prevention: Power to Make Healthy Choices</w:t>
            </w:r>
          </w:p>
          <w:p w14:paraId="5D6F9BC2" w14:textId="77777777" w:rsidR="00633784" w:rsidRPr="00C801C1" w:rsidRDefault="00633784" w:rsidP="00F43D50">
            <w:pPr>
              <w:rPr>
                <w:rFonts w:asciiTheme="minorBidi" w:hAnsiTheme="minorBidi"/>
              </w:rPr>
            </w:pPr>
          </w:p>
          <w:p w14:paraId="5B45B7A1" w14:textId="6DB8B724" w:rsidR="00992F16" w:rsidRPr="00C801C1" w:rsidRDefault="00992F16" w:rsidP="00992F16">
            <w:pPr>
              <w:rPr>
                <w:rFonts w:asciiTheme="minorBidi" w:hAnsiTheme="minorBidi"/>
              </w:rPr>
            </w:pPr>
            <w:r w:rsidRPr="00C801C1">
              <w:rPr>
                <w:rFonts w:asciiTheme="minorBidi" w:hAnsiTheme="minorBidi"/>
              </w:rPr>
              <w:t xml:space="preserve">The </w:t>
            </w:r>
            <w:r w:rsidR="00D27F71" w:rsidRPr="00C801C1">
              <w:rPr>
                <w:rFonts w:asciiTheme="minorBidi" w:hAnsiTheme="minorBidi"/>
              </w:rPr>
              <w:t>next</w:t>
            </w:r>
            <w:r w:rsidRPr="00C801C1">
              <w:rPr>
                <w:rFonts w:asciiTheme="minorBidi" w:hAnsiTheme="minorBidi"/>
              </w:rPr>
              <w:t xml:space="preserve"> thematic discussion addressed the plan’s proposals for shifting from sickness to prevention. </w:t>
            </w:r>
            <w:r w:rsidR="00D27F71" w:rsidRPr="00C801C1">
              <w:rPr>
                <w:rFonts w:asciiTheme="minorBidi" w:hAnsiTheme="minorBidi"/>
              </w:rPr>
              <w:t>MAE</w:t>
            </w:r>
            <w:r w:rsidRPr="00C801C1">
              <w:rPr>
                <w:rFonts w:asciiTheme="minorBidi" w:hAnsiTheme="minorBidi"/>
              </w:rPr>
              <w:t xml:space="preserve"> summarised key initiatives, including restrictions on advertising for vapes and junk food, expansion of free school meals, introduction of health rewards schemes, and rollout of genomic testing and cancer screening.</w:t>
            </w:r>
          </w:p>
          <w:p w14:paraId="29070565" w14:textId="77777777" w:rsidR="00FC28BF" w:rsidRDefault="00FC28BF" w:rsidP="00992F16">
            <w:pPr>
              <w:rPr>
                <w:rFonts w:asciiTheme="minorBidi" w:hAnsiTheme="minorBidi"/>
              </w:rPr>
            </w:pPr>
          </w:p>
          <w:p w14:paraId="0FFD28CE" w14:textId="7E132566" w:rsidR="00E917CA" w:rsidRPr="00C801C1" w:rsidRDefault="00E917CA" w:rsidP="00992F16">
            <w:pPr>
              <w:rPr>
                <w:rFonts w:asciiTheme="minorBidi" w:hAnsiTheme="minorBidi"/>
              </w:rPr>
            </w:pPr>
            <w:r w:rsidRPr="00C801C1">
              <w:rPr>
                <w:rFonts w:asciiTheme="minorBidi" w:hAnsiTheme="minorBidi"/>
                <w:b/>
                <w:bCs/>
                <w:i/>
                <w:iCs/>
              </w:rPr>
              <w:t>Discussion:</w:t>
            </w:r>
          </w:p>
          <w:p w14:paraId="1FD7E50D" w14:textId="302AABBF" w:rsidR="00992F16" w:rsidRPr="00C801C1" w:rsidRDefault="00674C60" w:rsidP="00992F16">
            <w:pPr>
              <w:rPr>
                <w:rFonts w:asciiTheme="minorBidi" w:hAnsiTheme="minorBidi"/>
              </w:rPr>
            </w:pPr>
            <w:r w:rsidRPr="00C801C1">
              <w:rPr>
                <w:rFonts w:asciiTheme="minorBidi" w:hAnsiTheme="minorBidi"/>
              </w:rPr>
              <w:t>BD</w:t>
            </w:r>
            <w:r w:rsidR="00992F16" w:rsidRPr="00C801C1">
              <w:rPr>
                <w:rFonts w:asciiTheme="minorBidi" w:hAnsiTheme="minorBidi"/>
              </w:rPr>
              <w:t xml:space="preserve"> and M</w:t>
            </w:r>
            <w:r w:rsidRPr="00C801C1">
              <w:rPr>
                <w:rFonts w:asciiTheme="minorBidi" w:hAnsiTheme="minorBidi"/>
              </w:rPr>
              <w:t>AE</w:t>
            </w:r>
            <w:r w:rsidR="00992F16" w:rsidRPr="00C801C1">
              <w:rPr>
                <w:rFonts w:asciiTheme="minorBidi" w:hAnsiTheme="minorBidi"/>
              </w:rPr>
              <w:t xml:space="preserve"> raised ethical concerns about predictive genomics, particularly the psychological impact of identifying risks for conditions with no available treatment. They stressed the need for safeguards and informed consent.</w:t>
            </w:r>
            <w:r w:rsidR="006D6328" w:rsidRPr="00C801C1">
              <w:rPr>
                <w:rFonts w:asciiTheme="minorBidi" w:hAnsiTheme="minorBidi"/>
              </w:rPr>
              <w:t xml:space="preserve"> PW</w:t>
            </w:r>
            <w:r w:rsidR="00EB79AE" w:rsidRPr="00C801C1">
              <w:rPr>
                <w:rFonts w:asciiTheme="minorBidi" w:hAnsiTheme="minorBidi"/>
              </w:rPr>
              <w:t xml:space="preserve"> </w:t>
            </w:r>
            <w:r w:rsidR="008906E9" w:rsidRPr="00C801C1">
              <w:rPr>
                <w:rFonts w:asciiTheme="minorBidi" w:hAnsiTheme="minorBidi"/>
              </w:rPr>
              <w:t>raised concerns that</w:t>
            </w:r>
            <w:r w:rsidR="00EB79AE" w:rsidRPr="00C801C1">
              <w:rPr>
                <w:rFonts w:asciiTheme="minorBidi" w:hAnsiTheme="minorBidi"/>
              </w:rPr>
              <w:t xml:space="preserve"> universal</w:t>
            </w:r>
            <w:r w:rsidR="008B6A35">
              <w:rPr>
                <w:rFonts w:asciiTheme="minorBidi" w:hAnsiTheme="minorBidi"/>
              </w:rPr>
              <w:t xml:space="preserve"> </w:t>
            </w:r>
            <w:r w:rsidR="0089684E" w:rsidRPr="00C801C1">
              <w:rPr>
                <w:rFonts w:asciiTheme="minorBidi" w:hAnsiTheme="minorBidi"/>
              </w:rPr>
              <w:t xml:space="preserve">newborn genomics screening without </w:t>
            </w:r>
            <w:r w:rsidR="004A0EB3" w:rsidRPr="00C801C1">
              <w:rPr>
                <w:rFonts w:asciiTheme="minorBidi" w:hAnsiTheme="minorBidi"/>
              </w:rPr>
              <w:t xml:space="preserve">appropriate </w:t>
            </w:r>
            <w:r w:rsidR="0089684E" w:rsidRPr="00C801C1">
              <w:rPr>
                <w:rFonts w:asciiTheme="minorBidi" w:hAnsiTheme="minorBidi"/>
              </w:rPr>
              <w:t>safeguards could result in people</w:t>
            </w:r>
            <w:r w:rsidR="00400F2C">
              <w:rPr>
                <w:rFonts w:asciiTheme="minorBidi" w:hAnsiTheme="minorBidi"/>
              </w:rPr>
              <w:t xml:space="preserve"> (and their parents)</w:t>
            </w:r>
            <w:r w:rsidR="0089684E" w:rsidRPr="00C801C1">
              <w:rPr>
                <w:rFonts w:asciiTheme="minorBidi" w:hAnsiTheme="minorBidi"/>
              </w:rPr>
              <w:t xml:space="preserve"> being unable to travel with insurance or </w:t>
            </w:r>
            <w:r w:rsidR="0089684E" w:rsidRPr="00C801C1">
              <w:rPr>
                <w:rFonts w:asciiTheme="minorBidi" w:hAnsiTheme="minorBidi"/>
              </w:rPr>
              <w:lastRenderedPageBreak/>
              <w:t>access insurance-based healthcare whilst living with a genetic “death sentence</w:t>
            </w:r>
            <w:r w:rsidR="00945DFA" w:rsidRPr="00C801C1">
              <w:rPr>
                <w:rFonts w:asciiTheme="minorBidi" w:hAnsiTheme="minorBidi"/>
              </w:rPr>
              <w:t>.”</w:t>
            </w:r>
            <w:r w:rsidR="004B54F2" w:rsidRPr="00C801C1">
              <w:rPr>
                <w:rFonts w:asciiTheme="minorBidi" w:hAnsiTheme="minorBidi"/>
              </w:rPr>
              <w:t xml:space="preserve"> PWR agreed</w:t>
            </w:r>
            <w:r w:rsidR="00A70D11" w:rsidRPr="00C801C1">
              <w:rPr>
                <w:rFonts w:asciiTheme="minorBidi" w:hAnsiTheme="minorBidi"/>
              </w:rPr>
              <w:t xml:space="preserve">, </w:t>
            </w:r>
            <w:r w:rsidR="00B27C51" w:rsidRPr="00C801C1">
              <w:rPr>
                <w:rFonts w:asciiTheme="minorBidi" w:hAnsiTheme="minorBidi"/>
              </w:rPr>
              <w:t>adding</w:t>
            </w:r>
            <w:r w:rsidR="00A70D11" w:rsidRPr="00C801C1">
              <w:rPr>
                <w:rFonts w:asciiTheme="minorBidi" w:hAnsiTheme="minorBidi"/>
              </w:rPr>
              <w:t xml:space="preserve"> that there</w:t>
            </w:r>
            <w:r w:rsidR="004A0EB3" w:rsidRPr="00C801C1">
              <w:rPr>
                <w:rFonts w:asciiTheme="minorBidi" w:hAnsiTheme="minorBidi"/>
              </w:rPr>
              <w:t xml:space="preserve"> </w:t>
            </w:r>
            <w:r w:rsidR="00A70D11" w:rsidRPr="00C801C1">
              <w:rPr>
                <w:rFonts w:asciiTheme="minorBidi" w:hAnsiTheme="minorBidi"/>
              </w:rPr>
              <w:t xml:space="preserve">are ethical consequences </w:t>
            </w:r>
            <w:r w:rsidR="00B27C51" w:rsidRPr="00C801C1">
              <w:rPr>
                <w:rFonts w:asciiTheme="minorBidi" w:hAnsiTheme="minorBidi"/>
              </w:rPr>
              <w:t>if not covered off, and that</w:t>
            </w:r>
            <w:r w:rsidR="000B5303">
              <w:rPr>
                <w:rFonts w:asciiTheme="minorBidi" w:hAnsiTheme="minorBidi"/>
              </w:rPr>
              <w:t xml:space="preserve"> it</w:t>
            </w:r>
            <w:r w:rsidR="00B27C51" w:rsidRPr="00C801C1">
              <w:rPr>
                <w:rFonts w:asciiTheme="minorBidi" w:hAnsiTheme="minorBidi"/>
              </w:rPr>
              <w:t xml:space="preserve"> is still a probabilities scenario for </w:t>
            </w:r>
            <w:r w:rsidR="00824413" w:rsidRPr="00C801C1">
              <w:rPr>
                <w:rFonts w:asciiTheme="minorBidi" w:hAnsiTheme="minorBidi"/>
              </w:rPr>
              <w:t xml:space="preserve">many conditions. </w:t>
            </w:r>
          </w:p>
          <w:p w14:paraId="387AEC54" w14:textId="77777777" w:rsidR="00992F16" w:rsidRPr="00C801C1" w:rsidRDefault="00992F16" w:rsidP="00992F16">
            <w:pPr>
              <w:rPr>
                <w:rFonts w:asciiTheme="minorBidi" w:hAnsiTheme="minorBidi"/>
              </w:rPr>
            </w:pPr>
          </w:p>
          <w:p w14:paraId="5EC92CBA" w14:textId="199DA0F2" w:rsidR="00992F16" w:rsidRPr="00C801C1" w:rsidRDefault="008F45EB" w:rsidP="00A71908">
            <w:pPr>
              <w:rPr>
                <w:rFonts w:asciiTheme="minorBidi" w:hAnsiTheme="minorBidi"/>
              </w:rPr>
            </w:pPr>
            <w:r w:rsidRPr="00C801C1">
              <w:rPr>
                <w:rFonts w:asciiTheme="minorBidi" w:hAnsiTheme="minorBidi"/>
              </w:rPr>
              <w:t>VR</w:t>
            </w:r>
            <w:r w:rsidR="00992F16" w:rsidRPr="00C801C1">
              <w:rPr>
                <w:rFonts w:asciiTheme="minorBidi" w:hAnsiTheme="minorBidi"/>
              </w:rPr>
              <w:t xml:space="preserve"> noted that the plan overlooks early years and preschool interventions, which are critical for long-term health outcomes</w:t>
            </w:r>
            <w:r w:rsidR="00AB2ED2" w:rsidRPr="00C801C1">
              <w:rPr>
                <w:rFonts w:asciiTheme="minorBidi" w:hAnsiTheme="minorBidi"/>
              </w:rPr>
              <w:t xml:space="preserve"> and </w:t>
            </w:r>
            <w:r w:rsidR="00071EF2" w:rsidRPr="00C801C1">
              <w:rPr>
                <w:rFonts w:asciiTheme="minorBidi" w:hAnsiTheme="minorBidi"/>
              </w:rPr>
              <w:t xml:space="preserve">raised concerns regarding the lack of food education in school curricula, despite efforts to reduce junk food advertising. </w:t>
            </w:r>
            <w:r w:rsidR="00A71908" w:rsidRPr="00C801C1">
              <w:rPr>
                <w:rFonts w:asciiTheme="minorBidi" w:hAnsiTheme="minorBidi"/>
              </w:rPr>
              <w:t>She also highlighted that children from families just above the Universal Credit threshold often miss out on free school meals, despite being in need.</w:t>
            </w:r>
            <w:r w:rsidR="00AB2ED2" w:rsidRPr="00C801C1">
              <w:rPr>
                <w:rFonts w:asciiTheme="minorBidi" w:hAnsiTheme="minorBidi"/>
              </w:rPr>
              <w:t xml:space="preserve"> </w:t>
            </w:r>
            <w:r w:rsidRPr="00C801C1">
              <w:rPr>
                <w:rFonts w:asciiTheme="minorBidi" w:hAnsiTheme="minorBidi"/>
              </w:rPr>
              <w:t>LS</w:t>
            </w:r>
            <w:r w:rsidR="00992F16" w:rsidRPr="00C801C1">
              <w:rPr>
                <w:rFonts w:asciiTheme="minorBidi" w:hAnsiTheme="minorBidi"/>
              </w:rPr>
              <w:t xml:space="preserve"> </w:t>
            </w:r>
            <w:r w:rsidRPr="00C801C1">
              <w:rPr>
                <w:rFonts w:asciiTheme="minorBidi" w:hAnsiTheme="minorBidi"/>
              </w:rPr>
              <w:t>added</w:t>
            </w:r>
            <w:r w:rsidR="00992F16" w:rsidRPr="00C801C1">
              <w:rPr>
                <w:rFonts w:asciiTheme="minorBidi" w:hAnsiTheme="minorBidi"/>
              </w:rPr>
              <w:t xml:space="preserve"> that current funding for school meals is insufficient to meet nutritional standards, and that packed lunches often undermine school efforts to promote healthy eating.</w:t>
            </w:r>
            <w:r w:rsidR="008B6A35">
              <w:rPr>
                <w:rFonts w:asciiTheme="minorBidi" w:hAnsiTheme="minorBidi"/>
              </w:rPr>
              <w:t xml:space="preserve"> </w:t>
            </w:r>
            <w:r w:rsidR="00CB297D" w:rsidRPr="00C801C1">
              <w:rPr>
                <w:rFonts w:asciiTheme="minorBidi" w:hAnsiTheme="minorBidi"/>
              </w:rPr>
              <w:t xml:space="preserve">PW cautioned against oversimplified narratives around poverty and health </w:t>
            </w:r>
            <w:r w:rsidR="00484F96" w:rsidRPr="00C801C1">
              <w:rPr>
                <w:rFonts w:asciiTheme="minorBidi" w:hAnsiTheme="minorBidi"/>
              </w:rPr>
              <w:t>behaviours and</w:t>
            </w:r>
            <w:r w:rsidR="00B407E2" w:rsidRPr="00C801C1">
              <w:rPr>
                <w:rFonts w:asciiTheme="minorBidi" w:hAnsiTheme="minorBidi"/>
              </w:rPr>
              <w:t xml:space="preserve"> argued that the plan</w:t>
            </w:r>
            <w:r w:rsidR="00484F96" w:rsidRPr="00C801C1">
              <w:rPr>
                <w:rFonts w:asciiTheme="minorBidi" w:hAnsiTheme="minorBidi"/>
              </w:rPr>
              <w:t xml:space="preserve"> reflects a middle-class worldview that fails to account for the lived realities of poverty.</w:t>
            </w:r>
            <w:r w:rsidR="00CB297D" w:rsidRPr="00C801C1">
              <w:rPr>
                <w:rFonts w:asciiTheme="minorBidi" w:hAnsiTheme="minorBidi"/>
              </w:rPr>
              <w:t xml:space="preserve"> He stressed that meaningful change requires addressing systemic inequalities, including redistributing wealth.</w:t>
            </w:r>
          </w:p>
          <w:p w14:paraId="618EC25B" w14:textId="77777777" w:rsidR="00484F96" w:rsidRPr="00C801C1" w:rsidRDefault="00484F96" w:rsidP="00A71908">
            <w:pPr>
              <w:rPr>
                <w:rFonts w:asciiTheme="minorBidi" w:hAnsiTheme="minorBidi"/>
              </w:rPr>
            </w:pPr>
          </w:p>
          <w:p w14:paraId="10AE5E1E" w14:textId="77777777" w:rsidR="00484F96" w:rsidRPr="00C801C1" w:rsidRDefault="00484F96" w:rsidP="00484F96">
            <w:pPr>
              <w:rPr>
                <w:rFonts w:asciiTheme="minorBidi" w:hAnsiTheme="minorBidi"/>
              </w:rPr>
            </w:pPr>
            <w:r w:rsidRPr="00C801C1">
              <w:rPr>
                <w:rFonts w:asciiTheme="minorBidi" w:hAnsiTheme="minorBidi"/>
              </w:rPr>
              <w:t xml:space="preserve">KD noted in the chat that there is an opportunity to redirect support for social needs (e.g. poverty, debt, housing, and social isolation) towards a properly funded and integrated voluntary sector. By enabling services like advice, befriending and community support, this approach could help address the social determinants of health and reduce pressure on frontline healthcare services. </w:t>
            </w:r>
          </w:p>
          <w:p w14:paraId="01509AF7" w14:textId="77777777" w:rsidR="00D5028C" w:rsidRPr="00C801C1" w:rsidRDefault="00D5028C" w:rsidP="00992F16">
            <w:pPr>
              <w:rPr>
                <w:rFonts w:asciiTheme="minorBidi" w:hAnsiTheme="minorBidi"/>
              </w:rPr>
            </w:pPr>
          </w:p>
          <w:p w14:paraId="49D85C2C" w14:textId="34131802" w:rsidR="00D5028C" w:rsidRPr="00C801C1" w:rsidRDefault="00D5028C" w:rsidP="00D5028C">
            <w:pPr>
              <w:rPr>
                <w:rFonts w:asciiTheme="minorBidi" w:hAnsiTheme="minorBidi"/>
              </w:rPr>
            </w:pPr>
            <w:r w:rsidRPr="00C801C1">
              <w:rPr>
                <w:rFonts w:asciiTheme="minorBidi" w:hAnsiTheme="minorBidi"/>
              </w:rPr>
              <w:t xml:space="preserve">JJ mentioned the NICE guidance on overweight and obesity management that covers prevention and management of overweight, obesity and central adiposity in children, young </w:t>
            </w:r>
            <w:r w:rsidR="00945DFA" w:rsidRPr="00C801C1">
              <w:rPr>
                <w:rFonts w:asciiTheme="minorBidi" w:hAnsiTheme="minorBidi"/>
              </w:rPr>
              <w:t>people,</w:t>
            </w:r>
            <w:r w:rsidRPr="00C801C1">
              <w:rPr>
                <w:rFonts w:asciiTheme="minorBidi" w:hAnsiTheme="minorBidi"/>
              </w:rPr>
              <w:t xml:space="preserve"> and adults. </w:t>
            </w:r>
            <w:r w:rsidR="00C3573F">
              <w:rPr>
                <w:rFonts w:asciiTheme="minorBidi" w:hAnsiTheme="minorBidi"/>
              </w:rPr>
              <w:t>This i</w:t>
            </w:r>
            <w:r w:rsidRPr="00C801C1">
              <w:rPr>
                <w:rFonts w:asciiTheme="minorBidi" w:hAnsiTheme="minorBidi"/>
              </w:rPr>
              <w:t>ncludes recommendations on prevention in schools and nurseries (</w:t>
            </w:r>
            <w:hyperlink r:id="rId5" w:tgtFrame="_blank" w:tooltip="https://www.nice.org.uk/guidance/ng246" w:history="1">
              <w:r w:rsidR="00C3573F">
                <w:rPr>
                  <w:rStyle w:val="Hyperlink"/>
                  <w:rFonts w:asciiTheme="minorBidi" w:hAnsiTheme="minorBidi"/>
                </w:rPr>
                <w:t>Overweight and obesity management | Guidance | NICE</w:t>
              </w:r>
            </w:hyperlink>
            <w:r w:rsidRPr="00C801C1">
              <w:rPr>
                <w:rFonts w:asciiTheme="minorBidi" w:hAnsiTheme="minorBidi"/>
              </w:rPr>
              <w:t>).</w:t>
            </w:r>
          </w:p>
          <w:p w14:paraId="63A57DAD" w14:textId="77777777" w:rsidR="007F7EB1" w:rsidRPr="00C801C1" w:rsidRDefault="007F7EB1" w:rsidP="00992F16">
            <w:pPr>
              <w:rPr>
                <w:rFonts w:asciiTheme="minorBidi" w:hAnsiTheme="minorBidi"/>
              </w:rPr>
            </w:pPr>
          </w:p>
          <w:p w14:paraId="46DF1C78" w14:textId="7F55F7F8" w:rsidR="009A0BD9" w:rsidRPr="00C801C1" w:rsidRDefault="007F7EB1" w:rsidP="000A57E5">
            <w:pPr>
              <w:rPr>
                <w:rFonts w:asciiTheme="minorBidi" w:hAnsiTheme="minorBidi"/>
              </w:rPr>
            </w:pPr>
            <w:r w:rsidRPr="00C801C1">
              <w:rPr>
                <w:rFonts w:asciiTheme="minorBidi" w:hAnsiTheme="minorBidi"/>
              </w:rPr>
              <w:t>RR noted in the chat that planning in local areas will need to join up with the government strategy “Giving Every Child the Best Start in Life</w:t>
            </w:r>
            <w:r w:rsidR="00945DFA" w:rsidRPr="00C801C1">
              <w:rPr>
                <w:rFonts w:asciiTheme="minorBidi" w:hAnsiTheme="minorBidi"/>
              </w:rPr>
              <w:t>,”</w:t>
            </w:r>
            <w:r w:rsidRPr="00C801C1">
              <w:rPr>
                <w:rFonts w:asciiTheme="minorBidi" w:hAnsiTheme="minorBidi"/>
              </w:rPr>
              <w:t xml:space="preserve"> which includes establishing Best Start Family Hubs in local areas.</w:t>
            </w:r>
            <w:r w:rsidR="00795F45" w:rsidRPr="00C801C1">
              <w:rPr>
                <w:rFonts w:asciiTheme="minorBidi" w:hAnsiTheme="minorBidi"/>
              </w:rPr>
              <w:t xml:space="preserve"> VR agreed</w:t>
            </w:r>
            <w:r w:rsidR="006A5520" w:rsidRPr="00C801C1">
              <w:rPr>
                <w:rFonts w:asciiTheme="minorBidi" w:hAnsiTheme="minorBidi"/>
              </w:rPr>
              <w:t>, emphasising</w:t>
            </w:r>
            <w:r w:rsidR="00795F45" w:rsidRPr="00C801C1">
              <w:rPr>
                <w:rFonts w:asciiTheme="minorBidi" w:hAnsiTheme="minorBidi"/>
              </w:rPr>
              <w:t xml:space="preserve"> </w:t>
            </w:r>
            <w:r w:rsidR="000A57E5" w:rsidRPr="00C801C1">
              <w:rPr>
                <w:rFonts w:asciiTheme="minorBidi" w:hAnsiTheme="minorBidi"/>
              </w:rPr>
              <w:t>the importance of improved coordination with local authority services, particularly in areas such as early help, safeguarding, and support for children and young people with special educational needs.</w:t>
            </w:r>
          </w:p>
          <w:p w14:paraId="4C2375D6" w14:textId="77777777" w:rsidR="009A0BD9" w:rsidRPr="00C801C1" w:rsidRDefault="009A0BD9" w:rsidP="009A0BD9">
            <w:pPr>
              <w:rPr>
                <w:rFonts w:asciiTheme="minorBidi" w:hAnsiTheme="minorBidi"/>
              </w:rPr>
            </w:pPr>
          </w:p>
          <w:p w14:paraId="556E56D6" w14:textId="382A0243" w:rsidR="00992F16" w:rsidRPr="00C801C1" w:rsidRDefault="00992F16" w:rsidP="009738D3">
            <w:pPr>
              <w:rPr>
                <w:rFonts w:asciiTheme="minorBidi" w:hAnsiTheme="minorBidi"/>
              </w:rPr>
            </w:pPr>
            <w:r w:rsidRPr="00C801C1">
              <w:rPr>
                <w:rFonts w:asciiTheme="minorBidi" w:hAnsiTheme="minorBidi"/>
              </w:rPr>
              <w:t>F</w:t>
            </w:r>
            <w:r w:rsidR="004E0FE8" w:rsidRPr="00C801C1">
              <w:rPr>
                <w:rFonts w:asciiTheme="minorBidi" w:hAnsiTheme="minorBidi"/>
              </w:rPr>
              <w:t xml:space="preserve">B </w:t>
            </w:r>
            <w:r w:rsidRPr="00C801C1">
              <w:rPr>
                <w:rFonts w:asciiTheme="minorBidi" w:hAnsiTheme="minorBidi"/>
              </w:rPr>
              <w:t>expressed concern about the decommissioning of tobacco cessation services in some regions, despite their inclusion in the plan. She also noted that many of the proposed interventions fall outside the remit of the NHS and require broader governmental action.</w:t>
            </w:r>
            <w:r w:rsidR="00FB3110" w:rsidRPr="00C801C1">
              <w:rPr>
                <w:rFonts w:asciiTheme="minorBidi" w:hAnsiTheme="minorBidi"/>
              </w:rPr>
              <w:t xml:space="preserve"> </w:t>
            </w:r>
            <w:r w:rsidR="005063DB" w:rsidRPr="00C801C1">
              <w:rPr>
                <w:rFonts w:asciiTheme="minorBidi" w:hAnsiTheme="minorBidi"/>
              </w:rPr>
              <w:t>MAE</w:t>
            </w:r>
            <w:r w:rsidR="00BD0BAD" w:rsidRPr="00C801C1">
              <w:rPr>
                <w:rFonts w:asciiTheme="minorBidi" w:hAnsiTheme="minorBidi"/>
              </w:rPr>
              <w:t xml:space="preserve"> echoed this point and added that </w:t>
            </w:r>
            <w:r w:rsidR="00703C50" w:rsidRPr="00C801C1">
              <w:rPr>
                <w:rFonts w:asciiTheme="minorBidi" w:hAnsiTheme="minorBidi"/>
              </w:rPr>
              <w:t xml:space="preserve">there needs to be understanding around the rational of nicotine replacement products. </w:t>
            </w:r>
            <w:r w:rsidR="00FB3110" w:rsidRPr="00C801C1">
              <w:rPr>
                <w:rFonts w:asciiTheme="minorBidi" w:hAnsiTheme="minorBidi"/>
              </w:rPr>
              <w:t xml:space="preserve">PWR </w:t>
            </w:r>
            <w:r w:rsidR="00703C50" w:rsidRPr="00C801C1">
              <w:rPr>
                <w:rFonts w:asciiTheme="minorBidi" w:hAnsiTheme="minorBidi"/>
              </w:rPr>
              <w:t xml:space="preserve">informed </w:t>
            </w:r>
            <w:r w:rsidR="0007015B" w:rsidRPr="00C801C1">
              <w:rPr>
                <w:rFonts w:asciiTheme="minorBidi" w:hAnsiTheme="minorBidi"/>
              </w:rPr>
              <w:t xml:space="preserve">the initial </w:t>
            </w:r>
            <w:r w:rsidR="007A7C0D" w:rsidRPr="00C801C1">
              <w:rPr>
                <w:rFonts w:asciiTheme="minorBidi" w:hAnsiTheme="minorBidi"/>
              </w:rPr>
              <w:t>point of nicotine replacement was to support and enable smokers to quit, not swap from one to the other</w:t>
            </w:r>
            <w:r w:rsidR="00B92FE7" w:rsidRPr="00C801C1">
              <w:rPr>
                <w:rFonts w:asciiTheme="minorBidi" w:hAnsiTheme="minorBidi"/>
              </w:rPr>
              <w:t xml:space="preserve">. He added that there is a stark increase in the </w:t>
            </w:r>
            <w:r w:rsidR="00F45C4D" w:rsidRPr="00C801C1">
              <w:rPr>
                <w:rFonts w:asciiTheme="minorBidi" w:hAnsiTheme="minorBidi"/>
              </w:rPr>
              <w:t>number</w:t>
            </w:r>
            <w:r w:rsidR="00B92FE7" w:rsidRPr="00C801C1">
              <w:rPr>
                <w:rFonts w:asciiTheme="minorBidi" w:hAnsiTheme="minorBidi"/>
              </w:rPr>
              <w:t xml:space="preserve"> of children and young people taking up vaping. </w:t>
            </w:r>
          </w:p>
          <w:p w14:paraId="050627C9" w14:textId="77777777" w:rsidR="00992F16" w:rsidRPr="00C801C1" w:rsidRDefault="00992F16" w:rsidP="00992F16">
            <w:pPr>
              <w:rPr>
                <w:rFonts w:asciiTheme="minorBidi" w:hAnsiTheme="minorBidi"/>
              </w:rPr>
            </w:pPr>
          </w:p>
          <w:p w14:paraId="58310DE7" w14:textId="0F87BE83" w:rsidR="00992F16" w:rsidRPr="00C801C1" w:rsidRDefault="00992F16" w:rsidP="00992F16">
            <w:pPr>
              <w:rPr>
                <w:rFonts w:asciiTheme="minorBidi" w:hAnsiTheme="minorBidi"/>
              </w:rPr>
            </w:pPr>
            <w:r w:rsidRPr="00C801C1">
              <w:rPr>
                <w:rFonts w:asciiTheme="minorBidi" w:hAnsiTheme="minorBidi"/>
              </w:rPr>
              <w:t>M</w:t>
            </w:r>
            <w:r w:rsidR="004E0FE8" w:rsidRPr="00C801C1">
              <w:rPr>
                <w:rFonts w:asciiTheme="minorBidi" w:hAnsiTheme="minorBidi"/>
              </w:rPr>
              <w:t>C</w:t>
            </w:r>
            <w:r w:rsidRPr="00C801C1">
              <w:rPr>
                <w:rFonts w:asciiTheme="minorBidi" w:hAnsiTheme="minorBidi"/>
              </w:rPr>
              <w:t xml:space="preserve"> highlighted the persistent health inequalities faced by people with severe mental illness, who continue to experience significantly reduced life expectancy. She called for targeted interventions and better integration of mental and physical health services.</w:t>
            </w:r>
          </w:p>
          <w:p w14:paraId="6CEF467C" w14:textId="77777777" w:rsidR="00992F16" w:rsidRPr="00C801C1" w:rsidRDefault="00992F16" w:rsidP="00992F16">
            <w:pPr>
              <w:rPr>
                <w:rFonts w:asciiTheme="minorBidi" w:hAnsiTheme="minorBidi"/>
              </w:rPr>
            </w:pPr>
          </w:p>
          <w:p w14:paraId="326FEEA5" w14:textId="5B7C1C9F" w:rsidR="00992F16" w:rsidRPr="00C801C1" w:rsidRDefault="00992F16" w:rsidP="00992F16">
            <w:pPr>
              <w:rPr>
                <w:rFonts w:asciiTheme="minorBidi" w:hAnsiTheme="minorBidi"/>
              </w:rPr>
            </w:pPr>
            <w:r w:rsidRPr="00C801C1">
              <w:rPr>
                <w:rFonts w:asciiTheme="minorBidi" w:hAnsiTheme="minorBidi"/>
              </w:rPr>
              <w:t>R</w:t>
            </w:r>
            <w:r w:rsidR="00E04BF0" w:rsidRPr="00C801C1">
              <w:rPr>
                <w:rFonts w:asciiTheme="minorBidi" w:hAnsiTheme="minorBidi"/>
              </w:rPr>
              <w:t>R</w:t>
            </w:r>
            <w:r w:rsidRPr="00C801C1">
              <w:rPr>
                <w:rFonts w:asciiTheme="minorBidi" w:hAnsiTheme="minorBidi"/>
              </w:rPr>
              <w:t xml:space="preserve"> noted the absence of measures to address alcohol pricing, advertising, and licensing. She also criticised the plan’s lack of emphasis on physical activity and its failure to engage with the wider determinants of health, such as housing and air quality.</w:t>
            </w:r>
          </w:p>
          <w:p w14:paraId="6C137BF8" w14:textId="77777777" w:rsidR="009D4C4F" w:rsidRPr="00C801C1" w:rsidRDefault="009D4C4F" w:rsidP="00992F16">
            <w:pPr>
              <w:rPr>
                <w:rFonts w:asciiTheme="minorBidi" w:hAnsiTheme="minorBidi"/>
              </w:rPr>
            </w:pPr>
          </w:p>
          <w:p w14:paraId="59499A31" w14:textId="4A55F355" w:rsidR="00992F16" w:rsidRPr="00C801C1" w:rsidRDefault="00992F16" w:rsidP="00992F16">
            <w:pPr>
              <w:rPr>
                <w:rFonts w:asciiTheme="minorBidi" w:hAnsiTheme="minorBidi"/>
              </w:rPr>
            </w:pPr>
            <w:r w:rsidRPr="00C801C1">
              <w:rPr>
                <w:rFonts w:asciiTheme="minorBidi" w:hAnsiTheme="minorBidi"/>
              </w:rPr>
              <w:lastRenderedPageBreak/>
              <w:t>J</w:t>
            </w:r>
            <w:r w:rsidR="002C7494" w:rsidRPr="00C801C1">
              <w:rPr>
                <w:rFonts w:asciiTheme="minorBidi" w:hAnsiTheme="minorBidi"/>
              </w:rPr>
              <w:t>S</w:t>
            </w:r>
            <w:r w:rsidRPr="00C801C1">
              <w:rPr>
                <w:rFonts w:asciiTheme="minorBidi" w:hAnsiTheme="minorBidi"/>
              </w:rPr>
              <w:t xml:space="preserve"> raised concerns about the expansion of weight loss medications without adequate wraparound care. She warned that this could lead to unrealistic expectations and increased pressure on primary care.</w:t>
            </w:r>
          </w:p>
          <w:p w14:paraId="77AD2416" w14:textId="77777777" w:rsidR="00992F16" w:rsidRPr="00C801C1" w:rsidRDefault="00992F16" w:rsidP="00992F16">
            <w:pPr>
              <w:rPr>
                <w:rFonts w:asciiTheme="minorBidi" w:hAnsiTheme="minorBidi"/>
              </w:rPr>
            </w:pPr>
          </w:p>
          <w:p w14:paraId="484E5B79" w14:textId="14BE4ADF" w:rsidR="00992F16" w:rsidRPr="00C801C1" w:rsidRDefault="00992F16" w:rsidP="00992F16">
            <w:pPr>
              <w:rPr>
                <w:rFonts w:asciiTheme="minorBidi" w:hAnsiTheme="minorBidi"/>
              </w:rPr>
            </w:pPr>
            <w:r w:rsidRPr="00C801C1">
              <w:rPr>
                <w:rFonts w:asciiTheme="minorBidi" w:hAnsiTheme="minorBidi"/>
              </w:rPr>
              <w:t>A</w:t>
            </w:r>
            <w:r w:rsidR="00B9208F" w:rsidRPr="00C801C1">
              <w:rPr>
                <w:rFonts w:asciiTheme="minorBidi" w:hAnsiTheme="minorBidi"/>
              </w:rPr>
              <w:t>L</w:t>
            </w:r>
            <w:r w:rsidRPr="00C801C1">
              <w:rPr>
                <w:rFonts w:asciiTheme="minorBidi" w:hAnsiTheme="minorBidi"/>
              </w:rPr>
              <w:t xml:space="preserve"> supported the plan’s intentions but described it as a “Christmas shopping list” lacking in coherence and cross-sector integration. She also warned that the expansion of genomic testing would place additional strain on already overstretched pathology services.</w:t>
            </w:r>
          </w:p>
          <w:p w14:paraId="011817FD" w14:textId="77777777" w:rsidR="00992F16" w:rsidRPr="00C801C1" w:rsidRDefault="00992F16" w:rsidP="00992F16">
            <w:pPr>
              <w:rPr>
                <w:rFonts w:asciiTheme="minorBidi" w:hAnsiTheme="minorBidi"/>
              </w:rPr>
            </w:pPr>
          </w:p>
          <w:p w14:paraId="57F45C03" w14:textId="435270EC" w:rsidR="00633784" w:rsidRPr="00C801C1" w:rsidRDefault="009E6631" w:rsidP="00992F16">
            <w:pPr>
              <w:rPr>
                <w:rFonts w:asciiTheme="minorBidi" w:hAnsiTheme="minorBidi"/>
                <w:b/>
                <w:bCs/>
                <w:u w:val="single"/>
              </w:rPr>
            </w:pPr>
            <w:r w:rsidRPr="00C801C1">
              <w:rPr>
                <w:rFonts w:asciiTheme="minorBidi" w:hAnsiTheme="minorBidi"/>
              </w:rPr>
              <w:t>DR</w:t>
            </w:r>
            <w:r w:rsidR="00992F16" w:rsidRPr="00C801C1">
              <w:rPr>
                <w:rFonts w:asciiTheme="minorBidi" w:hAnsiTheme="minorBidi"/>
              </w:rPr>
              <w:t xml:space="preserve"> questioned the feasibility of the proposed health rewards scheme, noting that similar initiatives already exist but are limited in scope and impact.</w:t>
            </w:r>
          </w:p>
        </w:tc>
      </w:tr>
      <w:tr w:rsidR="005636F6" w:rsidRPr="00C801C1" w14:paraId="5477D6C6" w14:textId="77777777" w:rsidTr="0091023F">
        <w:trPr>
          <w:trHeight w:val="283"/>
        </w:trPr>
        <w:tc>
          <w:tcPr>
            <w:tcW w:w="562" w:type="dxa"/>
          </w:tcPr>
          <w:p w14:paraId="4F7035A6" w14:textId="10DFC99E" w:rsidR="005636F6" w:rsidRPr="00C801C1" w:rsidRDefault="005636F6" w:rsidP="00F43D50">
            <w:pPr>
              <w:rPr>
                <w:rFonts w:asciiTheme="minorBidi" w:hAnsiTheme="minorBidi"/>
                <w:b/>
                <w:bCs/>
              </w:rPr>
            </w:pPr>
            <w:r w:rsidRPr="00C801C1">
              <w:rPr>
                <w:rFonts w:asciiTheme="minorBidi" w:hAnsiTheme="minorBidi"/>
                <w:b/>
                <w:bCs/>
              </w:rPr>
              <w:lastRenderedPageBreak/>
              <w:t>5.</w:t>
            </w:r>
          </w:p>
        </w:tc>
        <w:tc>
          <w:tcPr>
            <w:tcW w:w="15026" w:type="dxa"/>
          </w:tcPr>
          <w:p w14:paraId="1940460A" w14:textId="77777777" w:rsidR="005636F6" w:rsidRPr="00C801C1" w:rsidRDefault="00F05928" w:rsidP="00F43D50">
            <w:pPr>
              <w:rPr>
                <w:rFonts w:asciiTheme="minorBidi" w:hAnsiTheme="minorBidi"/>
                <w:b/>
                <w:bCs/>
                <w:u w:val="single"/>
              </w:rPr>
            </w:pPr>
            <w:r w:rsidRPr="00C801C1">
              <w:rPr>
                <w:rFonts w:asciiTheme="minorBidi" w:hAnsiTheme="minorBidi"/>
                <w:b/>
                <w:bCs/>
                <w:u w:val="single"/>
              </w:rPr>
              <w:t>Transparency of Quality Care / The Dash Report</w:t>
            </w:r>
          </w:p>
          <w:p w14:paraId="6143937E" w14:textId="77777777" w:rsidR="00217363" w:rsidRDefault="00217363" w:rsidP="00C96FD4">
            <w:pPr>
              <w:rPr>
                <w:rFonts w:asciiTheme="minorBidi" w:hAnsiTheme="minorBidi"/>
              </w:rPr>
            </w:pPr>
          </w:p>
          <w:p w14:paraId="2A721C3A" w14:textId="751FD537" w:rsidR="00095C76" w:rsidRPr="00C801C1" w:rsidRDefault="00BA30FE" w:rsidP="00C96FD4">
            <w:pPr>
              <w:rPr>
                <w:rFonts w:asciiTheme="minorBidi" w:hAnsiTheme="minorBidi"/>
              </w:rPr>
            </w:pPr>
            <w:r w:rsidRPr="00C801C1">
              <w:rPr>
                <w:rFonts w:asciiTheme="minorBidi" w:hAnsiTheme="minorBidi"/>
              </w:rPr>
              <w:t xml:space="preserve">DR led </w:t>
            </w:r>
            <w:r w:rsidR="00095C76" w:rsidRPr="00C801C1">
              <w:rPr>
                <w:rFonts w:asciiTheme="minorBidi" w:hAnsiTheme="minorBidi"/>
              </w:rPr>
              <w:t>the discussion and</w:t>
            </w:r>
            <w:r w:rsidR="00C96FD4" w:rsidRPr="00C801C1">
              <w:rPr>
                <w:rFonts w:asciiTheme="minorBidi" w:hAnsiTheme="minorBidi"/>
              </w:rPr>
              <w:t xml:space="preserve"> examination of the Dash Report, a document that had been released with relatively little public </w:t>
            </w:r>
            <w:r w:rsidR="00576B70" w:rsidRPr="00C801C1">
              <w:rPr>
                <w:rFonts w:asciiTheme="minorBidi" w:hAnsiTheme="minorBidi"/>
              </w:rPr>
              <w:t>attention,</w:t>
            </w:r>
            <w:r w:rsidR="00C96FD4" w:rsidRPr="00C801C1">
              <w:rPr>
                <w:rFonts w:asciiTheme="minorBidi" w:hAnsiTheme="minorBidi"/>
              </w:rPr>
              <w:t xml:space="preserve"> but which contained significant implications for the future of patient safety, quality oversight, and the role of independent voices in the NHS. </w:t>
            </w:r>
          </w:p>
          <w:p w14:paraId="18AC3260" w14:textId="77777777" w:rsidR="00095C76" w:rsidRPr="00C801C1" w:rsidRDefault="00095C76" w:rsidP="00C96FD4">
            <w:pPr>
              <w:rPr>
                <w:rFonts w:asciiTheme="minorBidi" w:hAnsiTheme="minorBidi"/>
              </w:rPr>
            </w:pPr>
          </w:p>
          <w:p w14:paraId="56248A9F" w14:textId="382D6A22" w:rsidR="00C96FD4" w:rsidRPr="00C801C1" w:rsidRDefault="00987645" w:rsidP="00C96FD4">
            <w:pPr>
              <w:rPr>
                <w:rFonts w:asciiTheme="minorBidi" w:hAnsiTheme="minorBidi"/>
              </w:rPr>
            </w:pPr>
            <w:r w:rsidRPr="00C801C1">
              <w:rPr>
                <w:rFonts w:asciiTheme="minorBidi" w:hAnsiTheme="minorBidi"/>
              </w:rPr>
              <w:t>DR</w:t>
            </w:r>
            <w:r w:rsidR="00C96FD4" w:rsidRPr="00C801C1">
              <w:rPr>
                <w:rFonts w:asciiTheme="minorBidi" w:hAnsiTheme="minorBidi"/>
              </w:rPr>
              <w:t xml:space="preserve"> began by contextualising the report within the broader political landscape. She noted that, just days before the report’s publication, national media had circulated headlines suggesting that hundreds of NHS “quangos” were to be abolished. This announcement, which appeared in the press before any formal communication was made to affected organisations</w:t>
            </w:r>
            <w:r w:rsidR="009529E6">
              <w:rPr>
                <w:rFonts w:asciiTheme="minorBidi" w:hAnsiTheme="minorBidi"/>
              </w:rPr>
              <w:t xml:space="preserve"> (similar to the NHS</w:t>
            </w:r>
            <w:r w:rsidR="00C05464">
              <w:rPr>
                <w:rFonts w:asciiTheme="minorBidi" w:hAnsiTheme="minorBidi"/>
              </w:rPr>
              <w:t xml:space="preserve"> </w:t>
            </w:r>
            <w:r w:rsidR="009529E6">
              <w:rPr>
                <w:rFonts w:asciiTheme="minorBidi" w:hAnsiTheme="minorBidi"/>
              </w:rPr>
              <w:t>E</w:t>
            </w:r>
            <w:r w:rsidR="00C05464">
              <w:rPr>
                <w:rFonts w:asciiTheme="minorBidi" w:hAnsiTheme="minorBidi"/>
              </w:rPr>
              <w:t>ngland</w:t>
            </w:r>
            <w:r w:rsidR="009529E6">
              <w:rPr>
                <w:rFonts w:asciiTheme="minorBidi" w:hAnsiTheme="minorBidi"/>
              </w:rPr>
              <w:t xml:space="preserve"> “abolishment” announcement)</w:t>
            </w:r>
            <w:r w:rsidR="00C96FD4" w:rsidRPr="00C801C1">
              <w:rPr>
                <w:rFonts w:asciiTheme="minorBidi" w:hAnsiTheme="minorBidi"/>
              </w:rPr>
              <w:t>, caused considerable anxiety among local Healthwatch teams. Many staff members learned of the potential dissolution of their roles through the media, prompting urgent internal discussions and widespread concern.</w:t>
            </w:r>
          </w:p>
          <w:p w14:paraId="5DA3DB06" w14:textId="77777777" w:rsidR="00987645" w:rsidRPr="00C801C1" w:rsidRDefault="00987645" w:rsidP="00C96FD4">
            <w:pPr>
              <w:rPr>
                <w:rFonts w:asciiTheme="minorBidi" w:hAnsiTheme="minorBidi"/>
              </w:rPr>
            </w:pPr>
          </w:p>
          <w:p w14:paraId="52E6D811" w14:textId="77777777" w:rsidR="00C96FD4" w:rsidRPr="00C801C1" w:rsidRDefault="00C96FD4" w:rsidP="00C96FD4">
            <w:pPr>
              <w:rPr>
                <w:rFonts w:asciiTheme="minorBidi" w:hAnsiTheme="minorBidi"/>
              </w:rPr>
            </w:pPr>
            <w:r w:rsidRPr="00C801C1">
              <w:rPr>
                <w:rFonts w:asciiTheme="minorBidi" w:hAnsiTheme="minorBidi"/>
              </w:rPr>
              <w:t>The Dash Report itself, authored by Penny Dash, Chair of NHS England, made nine key recommendations. These included rebuilding the Care Quality Commission (CQC) with a clearer remit, confirming the role of the Health Services Safety Investigations Body (HSSIB), and transferring the responsibilities of the Patient Safety Commissioner to the Medicines and Healthcare products Regulatory Agency (MHRA). However, the most contentious recommendation was the proposal to “bring together” local Healthwatch bodies and the engagement functions of Integrated Care Boards (ICBs). This was interpreted by many as a move to abolish or absorb Healthwatch into NHS structures, thereby removing its independence.</w:t>
            </w:r>
          </w:p>
          <w:p w14:paraId="5FD92258" w14:textId="77777777" w:rsidR="00987645" w:rsidRPr="00C801C1" w:rsidRDefault="00987645" w:rsidP="00C96FD4">
            <w:pPr>
              <w:rPr>
                <w:rFonts w:asciiTheme="minorBidi" w:hAnsiTheme="minorBidi"/>
              </w:rPr>
            </w:pPr>
          </w:p>
          <w:p w14:paraId="7CFBEA00" w14:textId="2F5F5171" w:rsidR="00C96FD4" w:rsidRPr="00C801C1" w:rsidRDefault="009806D0" w:rsidP="00C96FD4">
            <w:pPr>
              <w:rPr>
                <w:rFonts w:asciiTheme="minorBidi" w:hAnsiTheme="minorBidi"/>
              </w:rPr>
            </w:pPr>
            <w:r w:rsidRPr="00C801C1">
              <w:rPr>
                <w:rFonts w:asciiTheme="minorBidi" w:hAnsiTheme="minorBidi"/>
              </w:rPr>
              <w:t>DR</w:t>
            </w:r>
            <w:r w:rsidR="00C96FD4" w:rsidRPr="00C801C1">
              <w:rPr>
                <w:rFonts w:asciiTheme="minorBidi" w:hAnsiTheme="minorBidi"/>
              </w:rPr>
              <w:t xml:space="preserve"> expressed deep concern about the implications of this recommendation. She argued that Healthwatch plays a vital role in representing the voices of patients and the public, particularly those from marginalised or underrepresented communities. She questioned how this function could be preserved if Healthwatch were to be subsumed into the very organisations it is meant to scrutinise. She also highlighted the potential loss of statutory protections and the erosion of trust that could result from such a move.</w:t>
            </w:r>
          </w:p>
          <w:p w14:paraId="423023F8" w14:textId="77777777" w:rsidR="00987645" w:rsidRDefault="00987645" w:rsidP="00C96FD4">
            <w:pPr>
              <w:rPr>
                <w:rFonts w:asciiTheme="minorBidi" w:hAnsiTheme="minorBidi"/>
              </w:rPr>
            </w:pPr>
          </w:p>
          <w:p w14:paraId="5DA98865" w14:textId="580265DC" w:rsidR="00EF0769" w:rsidRPr="00C801C1" w:rsidRDefault="00EF0769" w:rsidP="00EF0769">
            <w:pPr>
              <w:rPr>
                <w:rFonts w:asciiTheme="minorBidi" w:hAnsiTheme="minorBidi"/>
              </w:rPr>
            </w:pPr>
            <w:r w:rsidRPr="00C801C1">
              <w:rPr>
                <w:rFonts w:asciiTheme="minorBidi" w:hAnsiTheme="minorBidi"/>
                <w:b/>
                <w:bCs/>
                <w:i/>
                <w:iCs/>
              </w:rPr>
              <w:t>Discussion:</w:t>
            </w:r>
          </w:p>
          <w:p w14:paraId="674CFC6E" w14:textId="5E1B46D8" w:rsidR="00C96FD4" w:rsidRPr="00C801C1" w:rsidRDefault="00953DA2" w:rsidP="00C96FD4">
            <w:pPr>
              <w:rPr>
                <w:rFonts w:asciiTheme="minorBidi" w:hAnsiTheme="minorBidi"/>
              </w:rPr>
            </w:pPr>
            <w:r w:rsidRPr="00C801C1">
              <w:rPr>
                <w:rFonts w:asciiTheme="minorBidi" w:hAnsiTheme="minorBidi"/>
              </w:rPr>
              <w:t>KD</w:t>
            </w:r>
            <w:r w:rsidR="00DE3A19" w:rsidRPr="00C801C1">
              <w:rPr>
                <w:rFonts w:asciiTheme="minorBidi" w:hAnsiTheme="minorBidi"/>
              </w:rPr>
              <w:t xml:space="preserve"> </w:t>
            </w:r>
            <w:r w:rsidR="00C96FD4" w:rsidRPr="00C801C1">
              <w:rPr>
                <w:rFonts w:asciiTheme="minorBidi" w:hAnsiTheme="minorBidi"/>
              </w:rPr>
              <w:t>reinforced these concerns. He described the emotional toll on staff who were informed of the potential changes with little warning. He emphasised that Healthwatch is not a bureaucratic body but a grassroots organisation that engages directly with communities, often through volunteers and patient participation groups. He warned that the proposed changes could result in the first time in fifty years that there would be no independent patient voice in the NHS.</w:t>
            </w:r>
          </w:p>
          <w:p w14:paraId="12D01965" w14:textId="77777777" w:rsidR="006A021D" w:rsidRPr="00C801C1" w:rsidRDefault="006A021D" w:rsidP="00C96FD4">
            <w:pPr>
              <w:rPr>
                <w:rFonts w:asciiTheme="minorBidi" w:hAnsiTheme="minorBidi"/>
              </w:rPr>
            </w:pPr>
          </w:p>
          <w:p w14:paraId="0F7D00AC" w14:textId="58F6ADCC" w:rsidR="00C96FD4" w:rsidRPr="00C801C1" w:rsidRDefault="006A021D" w:rsidP="00C96FD4">
            <w:pPr>
              <w:rPr>
                <w:rFonts w:asciiTheme="minorBidi" w:hAnsiTheme="minorBidi"/>
              </w:rPr>
            </w:pPr>
            <w:r w:rsidRPr="00C801C1">
              <w:rPr>
                <w:rFonts w:asciiTheme="minorBidi" w:hAnsiTheme="minorBidi"/>
              </w:rPr>
              <w:lastRenderedPageBreak/>
              <w:t>GG</w:t>
            </w:r>
            <w:r w:rsidR="00C96FD4" w:rsidRPr="00C801C1">
              <w:rPr>
                <w:rFonts w:asciiTheme="minorBidi" w:hAnsiTheme="minorBidi"/>
              </w:rPr>
              <w:t xml:space="preserve"> added to the discussion by linking the potential loss of Healthwatch to broader concerns about whistleblowing and staff safety. He noted that the Freedom to Speak Up Guardian programme, which provides support for NHS staff raising concerns, was also under threat. </w:t>
            </w:r>
            <w:r w:rsidR="0056437E" w:rsidRPr="00C801C1">
              <w:rPr>
                <w:rFonts w:asciiTheme="minorBidi" w:hAnsiTheme="minorBidi"/>
              </w:rPr>
              <w:t>GG</w:t>
            </w:r>
            <w:r w:rsidR="00C96FD4" w:rsidRPr="00C801C1">
              <w:rPr>
                <w:rFonts w:asciiTheme="minorBidi" w:hAnsiTheme="minorBidi"/>
              </w:rPr>
              <w:t xml:space="preserve"> warned of a “perfect storm” in which both patient and staff voices could be silenced, leading to a dangerous lack of accountability.</w:t>
            </w:r>
          </w:p>
          <w:p w14:paraId="358CA278" w14:textId="77777777" w:rsidR="00CB4F52" w:rsidRPr="00C801C1" w:rsidRDefault="00CB4F52" w:rsidP="00C96FD4">
            <w:pPr>
              <w:rPr>
                <w:rFonts w:asciiTheme="minorBidi" w:hAnsiTheme="minorBidi"/>
              </w:rPr>
            </w:pPr>
          </w:p>
          <w:p w14:paraId="498F91DD" w14:textId="6FCBFD69" w:rsidR="00C96FD4" w:rsidRPr="00C801C1" w:rsidRDefault="00CB4F52" w:rsidP="00C96FD4">
            <w:pPr>
              <w:rPr>
                <w:rFonts w:asciiTheme="minorBidi" w:hAnsiTheme="minorBidi"/>
              </w:rPr>
            </w:pPr>
            <w:r w:rsidRPr="00C801C1">
              <w:rPr>
                <w:rFonts w:asciiTheme="minorBidi" w:hAnsiTheme="minorBidi"/>
              </w:rPr>
              <w:t xml:space="preserve">MAE </w:t>
            </w:r>
            <w:r w:rsidR="00C96FD4" w:rsidRPr="00C801C1">
              <w:rPr>
                <w:rFonts w:asciiTheme="minorBidi" w:hAnsiTheme="minorBidi"/>
              </w:rPr>
              <w:t>acknowledged these concerns and reaffirmed her commitment to maintaining a Citizens Assembly as part of the Senate Council’s structure. She stressed the importance of preserving independent scrutiny and public engagement, particularly in the context of significant service changes expected later in the year.</w:t>
            </w:r>
          </w:p>
          <w:p w14:paraId="796A8B7A" w14:textId="77777777" w:rsidR="0056437E" w:rsidRPr="00C801C1" w:rsidRDefault="0056437E" w:rsidP="00C96FD4">
            <w:pPr>
              <w:rPr>
                <w:rFonts w:asciiTheme="minorBidi" w:hAnsiTheme="minorBidi"/>
              </w:rPr>
            </w:pPr>
          </w:p>
          <w:p w14:paraId="23DB9AC9" w14:textId="228693E0" w:rsidR="00C96FD4" w:rsidRPr="00C801C1" w:rsidRDefault="002E0015" w:rsidP="00C96FD4">
            <w:pPr>
              <w:rPr>
                <w:rFonts w:asciiTheme="minorBidi" w:hAnsiTheme="minorBidi"/>
              </w:rPr>
            </w:pPr>
            <w:r w:rsidRPr="00C801C1">
              <w:rPr>
                <w:rFonts w:asciiTheme="minorBidi" w:hAnsiTheme="minorBidi"/>
              </w:rPr>
              <w:t>RR</w:t>
            </w:r>
            <w:r w:rsidR="00C96FD4" w:rsidRPr="00C801C1">
              <w:rPr>
                <w:rFonts w:asciiTheme="minorBidi" w:hAnsiTheme="minorBidi"/>
              </w:rPr>
              <w:t xml:space="preserve"> queried whether the Health Overview and Scrutiny Committees (HOSCs), which provide democratic oversight of health services at the local authority level, were also at risk. She noted that while early drafts of the 10-Year Plan had suggested their abolition, the final version appeared to have softened this stance, instead stating that the government would “work with the Local Government Association to consider democratic oversight.”</w:t>
            </w:r>
          </w:p>
          <w:p w14:paraId="3392B687" w14:textId="77777777" w:rsidR="0008554A" w:rsidRPr="00C801C1" w:rsidRDefault="0008554A" w:rsidP="00C96FD4">
            <w:pPr>
              <w:rPr>
                <w:rFonts w:asciiTheme="minorBidi" w:hAnsiTheme="minorBidi"/>
              </w:rPr>
            </w:pPr>
          </w:p>
          <w:p w14:paraId="3ACDE025" w14:textId="6A483B62" w:rsidR="00C96FD4" w:rsidRPr="00C801C1" w:rsidRDefault="00ED4258" w:rsidP="00C96FD4">
            <w:pPr>
              <w:rPr>
                <w:rFonts w:asciiTheme="minorBidi" w:hAnsiTheme="minorBidi"/>
              </w:rPr>
            </w:pPr>
            <w:r w:rsidRPr="00C801C1">
              <w:rPr>
                <w:rFonts w:asciiTheme="minorBidi" w:hAnsiTheme="minorBidi"/>
              </w:rPr>
              <w:t>BD</w:t>
            </w:r>
            <w:r w:rsidR="00C96FD4" w:rsidRPr="00C801C1">
              <w:rPr>
                <w:rFonts w:asciiTheme="minorBidi" w:hAnsiTheme="minorBidi"/>
              </w:rPr>
              <w:t xml:space="preserve"> offered a systems-level perspective, questioning whether the NHS had clearly defined the risks it was trying to mitigate through these structural changes. He suggested that without a clear understanding of these risks, the reforms could result in unintended consequences and diminished public trust.</w:t>
            </w:r>
          </w:p>
          <w:p w14:paraId="763D8970" w14:textId="77777777" w:rsidR="00ED4258" w:rsidRPr="00C801C1" w:rsidRDefault="00ED4258" w:rsidP="00C96FD4">
            <w:pPr>
              <w:rPr>
                <w:rFonts w:asciiTheme="minorBidi" w:hAnsiTheme="minorBidi"/>
              </w:rPr>
            </w:pPr>
          </w:p>
          <w:p w14:paraId="071CBE17" w14:textId="70424DCB" w:rsidR="00C96FD4" w:rsidRPr="00C801C1" w:rsidRDefault="00ED4258" w:rsidP="00C96FD4">
            <w:pPr>
              <w:rPr>
                <w:rFonts w:asciiTheme="minorBidi" w:hAnsiTheme="minorBidi"/>
              </w:rPr>
            </w:pPr>
            <w:r w:rsidRPr="00C801C1">
              <w:rPr>
                <w:rFonts w:asciiTheme="minorBidi" w:hAnsiTheme="minorBidi"/>
              </w:rPr>
              <w:t>NP ac</w:t>
            </w:r>
            <w:r w:rsidR="00C96FD4" w:rsidRPr="00C801C1">
              <w:rPr>
                <w:rFonts w:asciiTheme="minorBidi" w:hAnsiTheme="minorBidi"/>
              </w:rPr>
              <w:t>knowledged that Healthwatch has sometimes been perceived as lacking influence. However, he argued that this moment of change could be an opportunity to strengthen the independent voice, rather than eliminate it. He proposed that the Senate Council and Citizens Assembly could play a proactive role in advising ICBs on how to embed meaningful public engagement in the new system.</w:t>
            </w:r>
          </w:p>
          <w:p w14:paraId="57C5012F" w14:textId="77777777" w:rsidR="00ED4258" w:rsidRPr="00C801C1" w:rsidRDefault="00ED4258" w:rsidP="00C96FD4">
            <w:pPr>
              <w:rPr>
                <w:rFonts w:asciiTheme="minorBidi" w:hAnsiTheme="minorBidi"/>
              </w:rPr>
            </w:pPr>
          </w:p>
          <w:p w14:paraId="1EC70782" w14:textId="280423A9" w:rsidR="009E6631" w:rsidRPr="00C801C1" w:rsidRDefault="00C96FD4" w:rsidP="006C61CF">
            <w:pPr>
              <w:rPr>
                <w:rFonts w:asciiTheme="minorBidi" w:hAnsiTheme="minorBidi"/>
              </w:rPr>
            </w:pPr>
            <w:r w:rsidRPr="00C801C1">
              <w:rPr>
                <w:rFonts w:asciiTheme="minorBidi" w:hAnsiTheme="minorBidi"/>
              </w:rPr>
              <w:t xml:space="preserve">The discussion concluded with a shared sense of urgency and a commitment to preserving the principles of transparency, accountability, and public voice. </w:t>
            </w:r>
            <w:r w:rsidR="00AE052C" w:rsidRPr="00C801C1">
              <w:rPr>
                <w:rFonts w:asciiTheme="minorBidi" w:hAnsiTheme="minorBidi"/>
              </w:rPr>
              <w:t>MAE</w:t>
            </w:r>
            <w:r w:rsidRPr="00C801C1">
              <w:rPr>
                <w:rFonts w:asciiTheme="minorBidi" w:hAnsiTheme="minorBidi"/>
              </w:rPr>
              <w:t xml:space="preserve"> thanked D</w:t>
            </w:r>
            <w:r w:rsidR="00AE052C" w:rsidRPr="00C801C1">
              <w:rPr>
                <w:rFonts w:asciiTheme="minorBidi" w:hAnsiTheme="minorBidi"/>
              </w:rPr>
              <w:t>R</w:t>
            </w:r>
            <w:r w:rsidRPr="00C801C1">
              <w:rPr>
                <w:rFonts w:asciiTheme="minorBidi" w:hAnsiTheme="minorBidi"/>
              </w:rPr>
              <w:t xml:space="preserve"> for her presentation and all contributors for their thoughtful and passionate responses.</w:t>
            </w:r>
          </w:p>
        </w:tc>
      </w:tr>
      <w:tr w:rsidR="005636F6" w:rsidRPr="00C801C1" w14:paraId="20BEB5F2" w14:textId="77777777" w:rsidTr="0091023F">
        <w:trPr>
          <w:trHeight w:val="283"/>
        </w:trPr>
        <w:tc>
          <w:tcPr>
            <w:tcW w:w="562" w:type="dxa"/>
          </w:tcPr>
          <w:p w14:paraId="7717E94F" w14:textId="4F79691C" w:rsidR="005636F6" w:rsidRPr="00C801C1" w:rsidRDefault="005636F6" w:rsidP="00F43D50">
            <w:pPr>
              <w:rPr>
                <w:rFonts w:asciiTheme="minorBidi" w:hAnsiTheme="minorBidi"/>
                <w:b/>
                <w:bCs/>
              </w:rPr>
            </w:pPr>
            <w:r w:rsidRPr="00C801C1">
              <w:rPr>
                <w:rFonts w:asciiTheme="minorBidi" w:hAnsiTheme="minorBidi"/>
                <w:b/>
                <w:bCs/>
              </w:rPr>
              <w:lastRenderedPageBreak/>
              <w:t>6.</w:t>
            </w:r>
          </w:p>
        </w:tc>
        <w:tc>
          <w:tcPr>
            <w:tcW w:w="15026" w:type="dxa"/>
          </w:tcPr>
          <w:p w14:paraId="139D6F66" w14:textId="77777777" w:rsidR="005636F6" w:rsidRPr="00C801C1" w:rsidRDefault="00633784" w:rsidP="00F43D50">
            <w:pPr>
              <w:rPr>
                <w:rFonts w:asciiTheme="minorBidi" w:hAnsiTheme="minorBidi"/>
                <w:b/>
                <w:bCs/>
                <w:u w:val="single"/>
              </w:rPr>
            </w:pPr>
            <w:r w:rsidRPr="00C801C1">
              <w:rPr>
                <w:rFonts w:asciiTheme="minorBidi" w:hAnsiTheme="minorBidi"/>
                <w:b/>
                <w:bCs/>
                <w:u w:val="single"/>
              </w:rPr>
              <w:t>NHS Workforce: Fit for the Future</w:t>
            </w:r>
          </w:p>
          <w:p w14:paraId="10DAE835" w14:textId="4DE26A7A" w:rsidR="00633784" w:rsidRPr="00C801C1" w:rsidRDefault="00633784" w:rsidP="00F43D50">
            <w:pPr>
              <w:rPr>
                <w:rFonts w:asciiTheme="minorBidi" w:hAnsiTheme="minorBidi"/>
              </w:rPr>
            </w:pPr>
          </w:p>
          <w:p w14:paraId="2920228D" w14:textId="27F2B274" w:rsidR="005F7340" w:rsidRPr="00C801C1" w:rsidRDefault="005F7340" w:rsidP="005F7340">
            <w:pPr>
              <w:rPr>
                <w:rFonts w:asciiTheme="minorBidi" w:hAnsiTheme="minorBidi"/>
              </w:rPr>
            </w:pPr>
            <w:r w:rsidRPr="00C801C1">
              <w:rPr>
                <w:rFonts w:asciiTheme="minorBidi" w:hAnsiTheme="minorBidi"/>
              </w:rPr>
              <w:t xml:space="preserve">The final discussion of the session focused on workforce planning and education, a theme that had surfaced repeatedly throughout the </w:t>
            </w:r>
            <w:r w:rsidR="008F515D" w:rsidRPr="00C801C1">
              <w:rPr>
                <w:rFonts w:asciiTheme="minorBidi" w:hAnsiTheme="minorBidi"/>
              </w:rPr>
              <w:t>meeting</w:t>
            </w:r>
            <w:r w:rsidRPr="00C801C1">
              <w:rPr>
                <w:rFonts w:asciiTheme="minorBidi" w:hAnsiTheme="minorBidi"/>
              </w:rPr>
              <w:t xml:space="preserve">. </w:t>
            </w:r>
            <w:r w:rsidR="008F515D" w:rsidRPr="00C801C1">
              <w:rPr>
                <w:rFonts w:asciiTheme="minorBidi" w:hAnsiTheme="minorBidi"/>
              </w:rPr>
              <w:t xml:space="preserve">MAE </w:t>
            </w:r>
            <w:r w:rsidRPr="00C801C1">
              <w:rPr>
                <w:rFonts w:asciiTheme="minorBidi" w:hAnsiTheme="minorBidi"/>
              </w:rPr>
              <w:t>introduced this section by summarising the workforce-related proposals in the 10-Year Plan. These included the introduction of new employment standards and contracts by 2026, the expansion of training posts and apprenticeships, the integration of artificial intelligence (AI) into clinical practice, and the establishment of a new College of Executive and Clinical Leadership.</w:t>
            </w:r>
          </w:p>
          <w:p w14:paraId="4602583E" w14:textId="77777777" w:rsidR="008F515D" w:rsidRPr="00C801C1" w:rsidRDefault="008F515D" w:rsidP="005F7340">
            <w:pPr>
              <w:rPr>
                <w:rFonts w:asciiTheme="minorBidi" w:hAnsiTheme="minorBidi"/>
              </w:rPr>
            </w:pPr>
          </w:p>
          <w:p w14:paraId="50DA43AD" w14:textId="43DE49DF" w:rsidR="005F7340" w:rsidRPr="00C801C1" w:rsidRDefault="005F7340" w:rsidP="005F7340">
            <w:pPr>
              <w:rPr>
                <w:rFonts w:asciiTheme="minorBidi" w:hAnsiTheme="minorBidi"/>
              </w:rPr>
            </w:pPr>
            <w:r w:rsidRPr="00C801C1">
              <w:rPr>
                <w:rFonts w:asciiTheme="minorBidi" w:hAnsiTheme="minorBidi"/>
              </w:rPr>
              <w:t xml:space="preserve">Geoff Smith, Regional Postgraduate Dean, was invited to provide expert commentary. He began by acknowledging that some elements of the plan were highly politicised, particularly the emphasis on prioritising UK medical graduates and reducing international recruitment. He noted that these proposals must be understood in the context of ongoing tensions between the Department of Health and junior doctors, including recent industrial action and the publication of the </w:t>
            </w:r>
            <w:hyperlink r:id="rId6" w:history="1">
              <w:r w:rsidRPr="0003040E">
                <w:rPr>
                  <w:rStyle w:val="Hyperlink"/>
                  <w:rFonts w:asciiTheme="minorBidi" w:hAnsiTheme="minorBidi"/>
                </w:rPr>
                <w:t>L</w:t>
              </w:r>
              <w:r w:rsidR="006A06A2" w:rsidRPr="0003040E">
                <w:rPr>
                  <w:rStyle w:val="Hyperlink"/>
                  <w:rFonts w:asciiTheme="minorBidi" w:hAnsiTheme="minorBidi"/>
                </w:rPr>
                <w:t>e</w:t>
              </w:r>
              <w:r w:rsidRPr="0003040E">
                <w:rPr>
                  <w:rStyle w:val="Hyperlink"/>
                  <w:rFonts w:asciiTheme="minorBidi" w:hAnsiTheme="minorBidi"/>
                </w:rPr>
                <w:t>ng Review</w:t>
              </w:r>
            </w:hyperlink>
            <w:r w:rsidRPr="00C801C1">
              <w:rPr>
                <w:rFonts w:asciiTheme="minorBidi" w:hAnsiTheme="minorBidi"/>
              </w:rPr>
              <w:t>.</w:t>
            </w:r>
            <w:r w:rsidR="00433C5B" w:rsidRPr="00C801C1">
              <w:rPr>
                <w:rFonts w:asciiTheme="minorBidi" w:hAnsiTheme="minorBidi"/>
              </w:rPr>
              <w:t xml:space="preserve"> </w:t>
            </w:r>
          </w:p>
          <w:p w14:paraId="154A3919" w14:textId="77777777" w:rsidR="008F515D" w:rsidRPr="00C801C1" w:rsidRDefault="008F515D" w:rsidP="005F7340">
            <w:pPr>
              <w:rPr>
                <w:rFonts w:asciiTheme="minorBidi" w:hAnsiTheme="minorBidi"/>
              </w:rPr>
            </w:pPr>
          </w:p>
          <w:p w14:paraId="6063367C" w14:textId="198C4D12" w:rsidR="005F7340" w:rsidRPr="00C801C1" w:rsidRDefault="000030AF" w:rsidP="005F7340">
            <w:pPr>
              <w:rPr>
                <w:rFonts w:asciiTheme="minorBidi" w:hAnsiTheme="minorBidi"/>
              </w:rPr>
            </w:pPr>
            <w:r w:rsidRPr="00C801C1">
              <w:rPr>
                <w:rFonts w:asciiTheme="minorBidi" w:hAnsiTheme="minorBidi"/>
              </w:rPr>
              <w:t>GS</w:t>
            </w:r>
            <w:r w:rsidR="005F7340" w:rsidRPr="00C801C1">
              <w:rPr>
                <w:rFonts w:asciiTheme="minorBidi" w:hAnsiTheme="minorBidi"/>
              </w:rPr>
              <w:t xml:space="preserve"> then turned to the substantive challenges of workforce transformation. He argued that the NHS must move beyond simply increasing headcount and instead focus on developing a workforce that is equipped to deliver care in new ways. This includes embedding digital </w:t>
            </w:r>
            <w:r w:rsidR="005F7340" w:rsidRPr="00C801C1">
              <w:rPr>
                <w:rFonts w:asciiTheme="minorBidi" w:hAnsiTheme="minorBidi"/>
              </w:rPr>
              <w:lastRenderedPageBreak/>
              <w:t>literacy and AI competencies across all professions, not just doctors and nurses. He emphasised that while new entrants to the workforce can be trained accordingly, the majority of current staff will require upskilling and support to adapt to these changes.</w:t>
            </w:r>
            <w:r w:rsidR="00DA2961" w:rsidRPr="00C801C1">
              <w:rPr>
                <w:rFonts w:asciiTheme="minorBidi" w:hAnsiTheme="minorBidi"/>
              </w:rPr>
              <w:t xml:space="preserve"> </w:t>
            </w:r>
          </w:p>
          <w:p w14:paraId="348BE01C" w14:textId="77777777" w:rsidR="00B661F4" w:rsidRPr="00C801C1" w:rsidRDefault="00B661F4" w:rsidP="005F7340">
            <w:pPr>
              <w:rPr>
                <w:rFonts w:asciiTheme="minorBidi" w:hAnsiTheme="minorBidi"/>
              </w:rPr>
            </w:pPr>
          </w:p>
          <w:p w14:paraId="592E2FCD" w14:textId="002B91EF" w:rsidR="005F7340" w:rsidRPr="00C801C1" w:rsidRDefault="005F7340" w:rsidP="005F7340">
            <w:pPr>
              <w:rPr>
                <w:rFonts w:asciiTheme="minorBidi" w:hAnsiTheme="minorBidi"/>
              </w:rPr>
            </w:pPr>
            <w:r w:rsidRPr="00C801C1">
              <w:rPr>
                <w:rFonts w:asciiTheme="minorBidi" w:hAnsiTheme="minorBidi"/>
              </w:rPr>
              <w:t xml:space="preserve">He also highlighted the need to shift education and training out of hospitals and into community settings. If the future of care lies in neighbourhood health centres and integrated community teams, then training must reflect this reality. </w:t>
            </w:r>
            <w:r w:rsidR="008B7BCB" w:rsidRPr="00C801C1">
              <w:rPr>
                <w:rFonts w:asciiTheme="minorBidi" w:hAnsiTheme="minorBidi"/>
              </w:rPr>
              <w:t>GS</w:t>
            </w:r>
            <w:r w:rsidRPr="00C801C1">
              <w:rPr>
                <w:rFonts w:asciiTheme="minorBidi" w:hAnsiTheme="minorBidi"/>
              </w:rPr>
              <w:t xml:space="preserve"> called for curricula that are aligned with population health needs and local service models, rather than being based on traditional hospital-centric paradigms.</w:t>
            </w:r>
            <w:r w:rsidR="008B6A35">
              <w:rPr>
                <w:rFonts w:asciiTheme="minorBidi" w:hAnsiTheme="minorBidi"/>
              </w:rPr>
              <w:t xml:space="preserve"> </w:t>
            </w:r>
          </w:p>
          <w:p w14:paraId="49A78387" w14:textId="77777777" w:rsidR="00DA2961" w:rsidRDefault="00DA2961" w:rsidP="005F7340">
            <w:pPr>
              <w:rPr>
                <w:rFonts w:asciiTheme="minorBidi" w:hAnsiTheme="minorBidi"/>
              </w:rPr>
            </w:pPr>
          </w:p>
          <w:p w14:paraId="006B8503" w14:textId="3E01C096" w:rsidR="0003040E" w:rsidRPr="00C801C1" w:rsidRDefault="0003040E" w:rsidP="0003040E">
            <w:pPr>
              <w:rPr>
                <w:rFonts w:asciiTheme="minorBidi" w:hAnsiTheme="minorBidi"/>
              </w:rPr>
            </w:pPr>
            <w:r w:rsidRPr="00C801C1">
              <w:rPr>
                <w:rFonts w:asciiTheme="minorBidi" w:hAnsiTheme="minorBidi"/>
                <w:b/>
                <w:bCs/>
                <w:i/>
                <w:iCs/>
              </w:rPr>
              <w:t>Discussion:</w:t>
            </w:r>
          </w:p>
          <w:p w14:paraId="1E283A9A" w14:textId="37B9A843" w:rsidR="00DA2961" w:rsidRPr="00C801C1" w:rsidRDefault="00DA2961" w:rsidP="00D17918">
            <w:pPr>
              <w:rPr>
                <w:rFonts w:asciiTheme="minorBidi" w:hAnsiTheme="minorBidi"/>
              </w:rPr>
            </w:pPr>
            <w:r w:rsidRPr="00C801C1">
              <w:rPr>
                <w:rFonts w:asciiTheme="minorBidi" w:hAnsiTheme="minorBidi"/>
              </w:rPr>
              <w:t>VS welcome</w:t>
            </w:r>
            <w:r w:rsidR="00B81C91" w:rsidRPr="00C801C1">
              <w:rPr>
                <w:rFonts w:asciiTheme="minorBidi" w:hAnsiTheme="minorBidi"/>
              </w:rPr>
              <w:t xml:space="preserve">d more medical places and nursing apprenticeships in </w:t>
            </w:r>
            <w:r w:rsidR="0003040E" w:rsidRPr="00C801C1">
              <w:rPr>
                <w:rFonts w:asciiTheme="minorBidi" w:hAnsiTheme="minorBidi"/>
              </w:rPr>
              <w:t>principle but</w:t>
            </w:r>
            <w:r w:rsidR="00B81C91" w:rsidRPr="00C801C1">
              <w:rPr>
                <w:rFonts w:asciiTheme="minorBidi" w:hAnsiTheme="minorBidi"/>
              </w:rPr>
              <w:t xml:space="preserve"> has some concerns considering the </w:t>
            </w:r>
            <w:r w:rsidR="00D17918" w:rsidRPr="00C801C1">
              <w:rPr>
                <w:rFonts w:asciiTheme="minorBidi" w:hAnsiTheme="minorBidi"/>
              </w:rPr>
              <w:t xml:space="preserve">documents states: </w:t>
            </w:r>
            <w:r w:rsidR="00D17918" w:rsidRPr="00C801C1">
              <w:rPr>
                <w:rFonts w:asciiTheme="minorBidi" w:hAnsiTheme="minorBidi"/>
                <w:i/>
                <w:iCs/>
              </w:rPr>
              <w:t>“While, by 2035, there will be fewer staff than projected in the 2023 Long-Term Workforce Plan"</w:t>
            </w:r>
            <w:r w:rsidR="00D17918" w:rsidRPr="00C801C1">
              <w:rPr>
                <w:rFonts w:asciiTheme="minorBidi" w:hAnsiTheme="minorBidi"/>
              </w:rPr>
              <w:t>.</w:t>
            </w:r>
          </w:p>
          <w:p w14:paraId="0FA5BD11" w14:textId="77777777" w:rsidR="008B7BCB" w:rsidRPr="00C801C1" w:rsidRDefault="008B7BCB" w:rsidP="005F7340">
            <w:pPr>
              <w:rPr>
                <w:rFonts w:asciiTheme="minorBidi" w:hAnsiTheme="minorBidi"/>
              </w:rPr>
            </w:pPr>
          </w:p>
          <w:p w14:paraId="5BECB5DF" w14:textId="42CDB075" w:rsidR="005F7340" w:rsidRPr="00C801C1" w:rsidRDefault="008B7BCB" w:rsidP="005F7340">
            <w:pPr>
              <w:rPr>
                <w:rFonts w:asciiTheme="minorBidi" w:hAnsiTheme="minorBidi"/>
              </w:rPr>
            </w:pPr>
            <w:r w:rsidRPr="00C801C1">
              <w:rPr>
                <w:rFonts w:asciiTheme="minorBidi" w:hAnsiTheme="minorBidi"/>
              </w:rPr>
              <w:t>GG</w:t>
            </w:r>
            <w:r w:rsidR="005F7340" w:rsidRPr="00C801C1">
              <w:rPr>
                <w:rFonts w:asciiTheme="minorBidi" w:hAnsiTheme="minorBidi"/>
              </w:rPr>
              <w:t xml:space="preserve"> </w:t>
            </w:r>
            <w:r w:rsidRPr="00C801C1">
              <w:rPr>
                <w:rFonts w:asciiTheme="minorBidi" w:hAnsiTheme="minorBidi"/>
              </w:rPr>
              <w:t>stressed</w:t>
            </w:r>
            <w:r w:rsidR="005F7340" w:rsidRPr="00C801C1">
              <w:rPr>
                <w:rFonts w:asciiTheme="minorBidi" w:hAnsiTheme="minorBidi"/>
              </w:rPr>
              <w:t xml:space="preserve"> the importance of retention. He argued that training more staff is futile if the NHS cannot retain them. He cited the high attrition rates among junior doctors and the growing preference for non-training roles or overseas employment. He also raised concerns about the role of physician associates and the need for clear boundaries and appropriate regulation.</w:t>
            </w:r>
          </w:p>
          <w:p w14:paraId="230A0328" w14:textId="01B698F7" w:rsidR="005F7340" w:rsidRPr="00C801C1" w:rsidRDefault="00962148" w:rsidP="005F7340">
            <w:pPr>
              <w:rPr>
                <w:rFonts w:asciiTheme="minorBidi" w:hAnsiTheme="minorBidi"/>
              </w:rPr>
            </w:pPr>
            <w:r w:rsidRPr="00C801C1">
              <w:rPr>
                <w:rFonts w:asciiTheme="minorBidi" w:hAnsiTheme="minorBidi"/>
              </w:rPr>
              <w:t>CS</w:t>
            </w:r>
            <w:r w:rsidR="005F7340" w:rsidRPr="00C801C1">
              <w:rPr>
                <w:rFonts w:asciiTheme="minorBidi" w:hAnsiTheme="minorBidi"/>
              </w:rPr>
              <w:t xml:space="preserve"> added that the current training system is inflexible and often excludes those who miss key entry points. She also raised the issue of the ageing workforce, particularly among consultants who may wish to continue working but are unable to manage the demands of on-call duties.</w:t>
            </w:r>
          </w:p>
          <w:p w14:paraId="6BD53693" w14:textId="77777777" w:rsidR="00962148" w:rsidRPr="00C801C1" w:rsidRDefault="00962148" w:rsidP="005F7340">
            <w:pPr>
              <w:rPr>
                <w:rFonts w:asciiTheme="minorBidi" w:hAnsiTheme="minorBidi"/>
              </w:rPr>
            </w:pPr>
          </w:p>
          <w:p w14:paraId="5227D286" w14:textId="68BB9380" w:rsidR="005F7340" w:rsidRPr="00C801C1" w:rsidRDefault="00962148" w:rsidP="005F7340">
            <w:pPr>
              <w:rPr>
                <w:rFonts w:asciiTheme="minorBidi" w:hAnsiTheme="minorBidi"/>
              </w:rPr>
            </w:pPr>
            <w:r w:rsidRPr="00C801C1">
              <w:rPr>
                <w:rFonts w:asciiTheme="minorBidi" w:hAnsiTheme="minorBidi"/>
              </w:rPr>
              <w:t>RR</w:t>
            </w:r>
            <w:r w:rsidR="005F7340" w:rsidRPr="00C801C1">
              <w:rPr>
                <w:rFonts w:asciiTheme="minorBidi" w:hAnsiTheme="minorBidi"/>
              </w:rPr>
              <w:t xml:space="preserve"> reminded the group that many NHS staff are commissioned by local authorities to deliver public health services. She urged that these staff be included in workforce planning, particularly those working in sexual health, substance misuse, school nursing, and health visiting.</w:t>
            </w:r>
          </w:p>
          <w:p w14:paraId="1D01CB08" w14:textId="77777777" w:rsidR="00962148" w:rsidRPr="00C801C1" w:rsidRDefault="00962148" w:rsidP="005F7340">
            <w:pPr>
              <w:rPr>
                <w:rFonts w:asciiTheme="minorBidi" w:hAnsiTheme="minorBidi"/>
              </w:rPr>
            </w:pPr>
          </w:p>
          <w:p w14:paraId="5CC432F9" w14:textId="2198A3ED" w:rsidR="005F7340" w:rsidRPr="00C801C1" w:rsidRDefault="00962148" w:rsidP="005F7340">
            <w:pPr>
              <w:rPr>
                <w:rFonts w:asciiTheme="minorBidi" w:hAnsiTheme="minorBidi"/>
              </w:rPr>
            </w:pPr>
            <w:r w:rsidRPr="00C801C1">
              <w:rPr>
                <w:rFonts w:asciiTheme="minorBidi" w:hAnsiTheme="minorBidi"/>
              </w:rPr>
              <w:t xml:space="preserve">NP </w:t>
            </w:r>
            <w:r w:rsidR="005F7340" w:rsidRPr="00C801C1">
              <w:rPr>
                <w:rFonts w:asciiTheme="minorBidi" w:hAnsiTheme="minorBidi"/>
              </w:rPr>
              <w:t>questioned whether current managers are equipped to conduct meaningful appraisals and support staff development. He also warned against a risk-averse culture that stifles innovation and creativity.</w:t>
            </w:r>
          </w:p>
          <w:p w14:paraId="0C0885D9" w14:textId="77777777" w:rsidR="005407E1" w:rsidRPr="00C801C1" w:rsidRDefault="005407E1" w:rsidP="005F7340">
            <w:pPr>
              <w:rPr>
                <w:rFonts w:asciiTheme="minorBidi" w:hAnsiTheme="minorBidi"/>
              </w:rPr>
            </w:pPr>
          </w:p>
          <w:p w14:paraId="6DE4618E" w14:textId="2C837246" w:rsidR="005F7340" w:rsidRPr="00C801C1" w:rsidRDefault="005407E1" w:rsidP="005F7340">
            <w:pPr>
              <w:rPr>
                <w:rFonts w:asciiTheme="minorBidi" w:hAnsiTheme="minorBidi"/>
              </w:rPr>
            </w:pPr>
            <w:r w:rsidRPr="00C801C1">
              <w:rPr>
                <w:rFonts w:asciiTheme="minorBidi" w:hAnsiTheme="minorBidi"/>
              </w:rPr>
              <w:t>JS</w:t>
            </w:r>
            <w:r w:rsidR="005F7340" w:rsidRPr="00C801C1">
              <w:rPr>
                <w:rFonts w:asciiTheme="minorBidi" w:hAnsiTheme="minorBidi"/>
              </w:rPr>
              <w:t xml:space="preserve"> echoed concerns about the ageing nursing workforce, particularly in primary care. She noted that many experienced nurses are nearing retirement and that there is a lack of clear pathways for nurse associates and other emerging roles. She also questioned the narrow focus on nurse consultants, suggesting that other </w:t>
            </w:r>
            <w:r w:rsidRPr="00C801C1">
              <w:rPr>
                <w:rFonts w:asciiTheme="minorBidi" w:hAnsiTheme="minorBidi"/>
              </w:rPr>
              <w:t>AHPs</w:t>
            </w:r>
            <w:r w:rsidR="005F7340" w:rsidRPr="00C801C1">
              <w:rPr>
                <w:rFonts w:asciiTheme="minorBidi" w:hAnsiTheme="minorBidi"/>
              </w:rPr>
              <w:t xml:space="preserve"> could also take on advanced roles.</w:t>
            </w:r>
            <w:r w:rsidR="008B6A35">
              <w:rPr>
                <w:rFonts w:asciiTheme="minorBidi" w:hAnsiTheme="minorBidi"/>
              </w:rPr>
              <w:t xml:space="preserve"> </w:t>
            </w:r>
            <w:r w:rsidR="005E07AB" w:rsidRPr="00C801C1">
              <w:rPr>
                <w:rFonts w:asciiTheme="minorBidi" w:hAnsiTheme="minorBidi"/>
              </w:rPr>
              <w:t>LS echoed in the chat that proposed changes to training should include the entire workforce and not be limited to doctors and nurses.</w:t>
            </w:r>
            <w:r w:rsidR="00634035" w:rsidRPr="00C801C1">
              <w:rPr>
                <w:rFonts w:asciiTheme="minorBidi" w:hAnsiTheme="minorBidi"/>
              </w:rPr>
              <w:t xml:space="preserve"> She then suggested that more focus needs to be on who employers are aiming apprenticeships at, and proposed </w:t>
            </w:r>
            <w:r w:rsidR="00214C5A" w:rsidRPr="00C801C1">
              <w:rPr>
                <w:rFonts w:asciiTheme="minorBidi" w:hAnsiTheme="minorBidi"/>
              </w:rPr>
              <w:t xml:space="preserve">offering them to local students who would otherwise not go to university and likely to remain in the area. </w:t>
            </w:r>
            <w:r w:rsidR="000855C9" w:rsidRPr="00C801C1">
              <w:rPr>
                <w:rFonts w:asciiTheme="minorBidi" w:hAnsiTheme="minorBidi"/>
              </w:rPr>
              <w:t xml:space="preserve">GG agreed in principle but emphasised that medical standards would need to remain </w:t>
            </w:r>
            <w:r w:rsidR="00866AA1" w:rsidRPr="00C801C1">
              <w:rPr>
                <w:rFonts w:asciiTheme="minorBidi" w:hAnsiTheme="minorBidi"/>
              </w:rPr>
              <w:t xml:space="preserve">robust and </w:t>
            </w:r>
            <w:r w:rsidR="000855C9" w:rsidRPr="00C801C1">
              <w:rPr>
                <w:rFonts w:asciiTheme="minorBidi" w:hAnsiTheme="minorBidi"/>
              </w:rPr>
              <w:t>unchanged</w:t>
            </w:r>
            <w:r w:rsidR="00866AA1" w:rsidRPr="00C801C1">
              <w:rPr>
                <w:rFonts w:asciiTheme="minorBidi" w:hAnsiTheme="minorBidi"/>
              </w:rPr>
              <w:t xml:space="preserve"> if undertaken via an apprenticeship. </w:t>
            </w:r>
          </w:p>
          <w:p w14:paraId="5923B70E" w14:textId="77777777" w:rsidR="005407E1" w:rsidRPr="00C801C1" w:rsidRDefault="005407E1" w:rsidP="005F7340">
            <w:pPr>
              <w:rPr>
                <w:rFonts w:asciiTheme="minorBidi" w:hAnsiTheme="minorBidi"/>
              </w:rPr>
            </w:pPr>
          </w:p>
          <w:p w14:paraId="6D7F8263" w14:textId="33B83187" w:rsidR="005F7340" w:rsidRPr="00C801C1" w:rsidRDefault="005407E1" w:rsidP="005F7340">
            <w:pPr>
              <w:rPr>
                <w:rFonts w:asciiTheme="minorBidi" w:hAnsiTheme="minorBidi"/>
              </w:rPr>
            </w:pPr>
            <w:r w:rsidRPr="00C801C1">
              <w:rPr>
                <w:rFonts w:asciiTheme="minorBidi" w:hAnsiTheme="minorBidi"/>
              </w:rPr>
              <w:t>MK</w:t>
            </w:r>
            <w:r w:rsidR="005F7340" w:rsidRPr="00C801C1">
              <w:rPr>
                <w:rFonts w:asciiTheme="minorBidi" w:hAnsiTheme="minorBidi"/>
              </w:rPr>
              <w:t xml:space="preserve"> offered a systems-level critique, arguing that workforce planning must be based on a thorough review of clinical pathways. He proposed a bottom-up approach that identifies value-adding steps, determines which can be automated, and then defines the skills required for the remaining tasks. He also called for greater attention to culture and staff wellbeing, warning that process improvements alone will not deliver sustainable change.</w:t>
            </w:r>
          </w:p>
          <w:p w14:paraId="467CA4D1" w14:textId="77777777" w:rsidR="00574606" w:rsidRPr="00C801C1" w:rsidRDefault="00574606" w:rsidP="005F7340">
            <w:pPr>
              <w:rPr>
                <w:rFonts w:asciiTheme="minorBidi" w:hAnsiTheme="minorBidi"/>
              </w:rPr>
            </w:pPr>
          </w:p>
          <w:p w14:paraId="42D04522" w14:textId="2905A024" w:rsidR="00574606" w:rsidRPr="00C801C1" w:rsidRDefault="00490E67" w:rsidP="007F0F34">
            <w:pPr>
              <w:rPr>
                <w:rFonts w:asciiTheme="minorBidi" w:hAnsiTheme="minorBidi"/>
              </w:rPr>
            </w:pPr>
            <w:r w:rsidRPr="00C801C1">
              <w:rPr>
                <w:rFonts w:asciiTheme="minorBidi" w:hAnsiTheme="minorBidi"/>
              </w:rPr>
              <w:lastRenderedPageBreak/>
              <w:t>A further discussion was had in the chat</w:t>
            </w:r>
            <w:r w:rsidR="00271210" w:rsidRPr="00C801C1">
              <w:rPr>
                <w:rFonts w:asciiTheme="minorBidi" w:hAnsiTheme="minorBidi"/>
              </w:rPr>
              <w:t xml:space="preserve"> regarding the implications for on-call duties for consultants over the age of 60, referencing </w:t>
            </w:r>
            <w:r w:rsidR="000B4D38" w:rsidRPr="00C801C1">
              <w:rPr>
                <w:rFonts w:asciiTheme="minorBidi" w:hAnsiTheme="minorBidi"/>
              </w:rPr>
              <w:t>RCP-BSG guidance which recommends that consultants should opt into on-calls only if they wish to. It was noted that while this could support local negotiations, practical challenges remain around covering shifts. The conversation also touched on the need for strengths-based appraisal processes and relational approaches to support culture change.</w:t>
            </w:r>
            <w:r w:rsidR="007F0F34" w:rsidRPr="00C801C1">
              <w:rPr>
                <w:rFonts w:asciiTheme="minorBidi" w:hAnsiTheme="minorBidi"/>
              </w:rPr>
              <w:t xml:space="preserve"> Furthermore, concerns were raised about the impact of rotational training on regions like the South West, with calls for locally focused workforce plans that reduce reliance on external recruitment. The importance of multiprofessional team training and the role of digital literacy among domiciliary care workers and carers were also highlighted.</w:t>
            </w:r>
          </w:p>
          <w:p w14:paraId="027E34BD" w14:textId="77777777" w:rsidR="005407E1" w:rsidRPr="00C801C1" w:rsidRDefault="005407E1" w:rsidP="005F7340">
            <w:pPr>
              <w:rPr>
                <w:rFonts w:asciiTheme="minorBidi" w:hAnsiTheme="minorBidi"/>
              </w:rPr>
            </w:pPr>
          </w:p>
          <w:p w14:paraId="4FBA0F44" w14:textId="1B9B2227" w:rsidR="005F7340" w:rsidRPr="00C801C1" w:rsidRDefault="00D07928" w:rsidP="005F7340">
            <w:pPr>
              <w:rPr>
                <w:rFonts w:asciiTheme="minorBidi" w:hAnsiTheme="minorBidi"/>
              </w:rPr>
            </w:pPr>
            <w:r w:rsidRPr="00C801C1">
              <w:rPr>
                <w:rFonts w:asciiTheme="minorBidi" w:hAnsiTheme="minorBidi"/>
              </w:rPr>
              <w:t xml:space="preserve">MAE </w:t>
            </w:r>
            <w:r w:rsidR="005F7340" w:rsidRPr="00C801C1">
              <w:rPr>
                <w:rFonts w:asciiTheme="minorBidi" w:hAnsiTheme="minorBidi"/>
              </w:rPr>
              <w:t>thanked Geoff and all contributors for a rich and wide-ranging discussion. She noted that the forthcoming 10-Year Workforce Plan, expected in the autumn, would provide an opportunity to revisit these issues in greater depth.</w:t>
            </w:r>
          </w:p>
          <w:p w14:paraId="6B5E6E6A" w14:textId="688A9D1F" w:rsidR="00633784" w:rsidRPr="00C801C1" w:rsidRDefault="00633784" w:rsidP="00F43D50">
            <w:pPr>
              <w:rPr>
                <w:rFonts w:asciiTheme="minorBidi" w:hAnsiTheme="minorBidi"/>
              </w:rPr>
            </w:pPr>
          </w:p>
        </w:tc>
      </w:tr>
      <w:tr w:rsidR="002F3B75" w:rsidRPr="00C801C1" w14:paraId="3A755665" w14:textId="77777777" w:rsidTr="0091023F">
        <w:trPr>
          <w:trHeight w:val="283"/>
        </w:trPr>
        <w:tc>
          <w:tcPr>
            <w:tcW w:w="562" w:type="dxa"/>
          </w:tcPr>
          <w:p w14:paraId="320E603C" w14:textId="77777777" w:rsidR="002F3B75" w:rsidRPr="00C801C1" w:rsidRDefault="002F3B75" w:rsidP="00F43D50">
            <w:pPr>
              <w:rPr>
                <w:rFonts w:asciiTheme="minorBidi" w:hAnsiTheme="minorBidi"/>
                <w:b/>
                <w:bCs/>
              </w:rPr>
            </w:pPr>
          </w:p>
        </w:tc>
        <w:tc>
          <w:tcPr>
            <w:tcW w:w="15026" w:type="dxa"/>
          </w:tcPr>
          <w:p w14:paraId="6210B31A" w14:textId="77777777" w:rsidR="002F3B75" w:rsidRPr="00C801C1" w:rsidRDefault="00776BDD" w:rsidP="00F43D50">
            <w:pPr>
              <w:rPr>
                <w:rFonts w:asciiTheme="minorBidi" w:hAnsiTheme="minorBidi"/>
                <w:b/>
                <w:bCs/>
                <w:u w:val="single"/>
              </w:rPr>
            </w:pPr>
            <w:r w:rsidRPr="00C801C1">
              <w:rPr>
                <w:rFonts w:asciiTheme="minorBidi" w:hAnsiTheme="minorBidi"/>
                <w:b/>
                <w:bCs/>
                <w:u w:val="single"/>
              </w:rPr>
              <w:t>AOB</w:t>
            </w:r>
          </w:p>
          <w:p w14:paraId="4EFE16D8" w14:textId="77777777" w:rsidR="00776BDD" w:rsidRPr="00C801C1" w:rsidRDefault="00776BDD" w:rsidP="00F43D50">
            <w:pPr>
              <w:rPr>
                <w:rFonts w:asciiTheme="minorBidi" w:hAnsiTheme="minorBidi"/>
                <w:b/>
                <w:bCs/>
                <w:u w:val="single"/>
              </w:rPr>
            </w:pPr>
          </w:p>
          <w:p w14:paraId="31A272AD" w14:textId="1523F994" w:rsidR="009C307B" w:rsidRPr="00C801C1" w:rsidRDefault="00AF3ABA" w:rsidP="00F43D50">
            <w:pPr>
              <w:rPr>
                <w:rFonts w:asciiTheme="minorBidi" w:hAnsiTheme="minorBidi"/>
              </w:rPr>
            </w:pPr>
            <w:r w:rsidRPr="00C801C1">
              <w:rPr>
                <w:rFonts w:asciiTheme="minorBidi" w:hAnsiTheme="minorBidi"/>
              </w:rPr>
              <w:t xml:space="preserve">PW asked where the review of service change in the NHS process sits </w:t>
            </w:r>
            <w:r w:rsidR="00E16FB3" w:rsidRPr="00C801C1">
              <w:rPr>
                <w:rFonts w:asciiTheme="minorBidi" w:hAnsiTheme="minorBidi"/>
              </w:rPr>
              <w:t>and asked how it affects the Clinical Senate. MAE responded t</w:t>
            </w:r>
            <w:r w:rsidR="005D528C" w:rsidRPr="00C801C1">
              <w:rPr>
                <w:rFonts w:asciiTheme="minorBidi" w:hAnsiTheme="minorBidi"/>
              </w:rPr>
              <w:t>hat we do not currently know, but each of the regional senates are working to ensure that NHSE recognise the valuable contr</w:t>
            </w:r>
            <w:r w:rsidR="008E7571" w:rsidRPr="00C801C1">
              <w:rPr>
                <w:rFonts w:asciiTheme="minorBidi" w:hAnsiTheme="minorBidi"/>
              </w:rPr>
              <w:t>ibution Senates make to service change. The Clinical Senate is part of the statutory process so the law would need to be changed to</w:t>
            </w:r>
            <w:r w:rsidR="00947631" w:rsidRPr="00C801C1">
              <w:rPr>
                <w:rFonts w:asciiTheme="minorBidi" w:hAnsiTheme="minorBidi"/>
              </w:rPr>
              <w:t xml:space="preserve"> remove its role. </w:t>
            </w:r>
          </w:p>
          <w:p w14:paraId="2E849F8B" w14:textId="77777777" w:rsidR="009C307B" w:rsidRPr="00C801C1" w:rsidRDefault="009C307B" w:rsidP="00F43D50">
            <w:pPr>
              <w:rPr>
                <w:rFonts w:asciiTheme="minorBidi" w:hAnsiTheme="minorBidi"/>
                <w:b/>
                <w:bCs/>
                <w:u w:val="single"/>
              </w:rPr>
            </w:pPr>
          </w:p>
          <w:p w14:paraId="2D5CA6E0" w14:textId="042C0FD0" w:rsidR="00776BDD" w:rsidRPr="00C801C1" w:rsidRDefault="00B54592" w:rsidP="00776BDD">
            <w:pPr>
              <w:rPr>
                <w:rFonts w:asciiTheme="minorBidi" w:hAnsiTheme="minorBidi"/>
              </w:rPr>
            </w:pPr>
            <w:r w:rsidRPr="00C801C1">
              <w:rPr>
                <w:rFonts w:asciiTheme="minorBidi" w:hAnsiTheme="minorBidi"/>
              </w:rPr>
              <w:t>MAE</w:t>
            </w:r>
            <w:r w:rsidR="00776BDD" w:rsidRPr="00C801C1">
              <w:rPr>
                <w:rFonts w:asciiTheme="minorBidi" w:hAnsiTheme="minorBidi"/>
              </w:rPr>
              <w:t xml:space="preserve"> confirmed that the next Senate Council meeting would take place on Thursday </w:t>
            </w:r>
            <w:r w:rsidR="00D56255" w:rsidRPr="00C801C1">
              <w:rPr>
                <w:rFonts w:asciiTheme="minorBidi" w:hAnsiTheme="minorBidi"/>
              </w:rPr>
              <w:t>25 September 2025 and</w:t>
            </w:r>
            <w:r w:rsidR="00776BDD" w:rsidRPr="00C801C1">
              <w:rPr>
                <w:rFonts w:asciiTheme="minorBidi" w:hAnsiTheme="minorBidi"/>
              </w:rPr>
              <w:t xml:space="preserve"> would focus specifically on the implementation of neighbourhood health services in the South West. She also reiterated her commitment to maintaining the Citizens Assembly and ensuring that public and clinical voices continue to shape the region’s health strategy.</w:t>
            </w:r>
          </w:p>
          <w:p w14:paraId="6C8EB9A8" w14:textId="240E7E87" w:rsidR="00776BDD" w:rsidRPr="00C801C1" w:rsidRDefault="00776BDD" w:rsidP="00F43D50">
            <w:pPr>
              <w:rPr>
                <w:rFonts w:asciiTheme="minorBidi" w:hAnsiTheme="minorBidi"/>
                <w:b/>
                <w:bCs/>
                <w:u w:val="single"/>
              </w:rPr>
            </w:pPr>
          </w:p>
        </w:tc>
      </w:tr>
    </w:tbl>
    <w:p w14:paraId="0D6107D0" w14:textId="77777777" w:rsidR="004A1BE7" w:rsidRPr="00C801C1" w:rsidRDefault="004A1BE7" w:rsidP="007D1C85">
      <w:pPr>
        <w:rPr>
          <w:rFonts w:asciiTheme="minorBidi" w:hAnsiTheme="minorBidi"/>
        </w:rPr>
      </w:pPr>
    </w:p>
    <w:sectPr w:rsidR="004A1BE7" w:rsidRPr="00C801C1" w:rsidSect="004A1BE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1FAB"/>
    <w:multiLevelType w:val="multilevel"/>
    <w:tmpl w:val="3E440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36515"/>
    <w:multiLevelType w:val="multilevel"/>
    <w:tmpl w:val="3DE00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B7592"/>
    <w:multiLevelType w:val="multilevel"/>
    <w:tmpl w:val="B0EA81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71307"/>
    <w:multiLevelType w:val="multilevel"/>
    <w:tmpl w:val="6ECAD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E7083"/>
    <w:multiLevelType w:val="multilevel"/>
    <w:tmpl w:val="5ED2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6172C"/>
    <w:multiLevelType w:val="multilevel"/>
    <w:tmpl w:val="75EC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E105F"/>
    <w:multiLevelType w:val="multilevel"/>
    <w:tmpl w:val="8624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980827">
    <w:abstractNumId w:val="3"/>
  </w:num>
  <w:num w:numId="2" w16cid:durableId="1801532290">
    <w:abstractNumId w:val="5"/>
  </w:num>
  <w:num w:numId="3" w16cid:durableId="2081444266">
    <w:abstractNumId w:val="0"/>
  </w:num>
  <w:num w:numId="4" w16cid:durableId="444469417">
    <w:abstractNumId w:val="6"/>
  </w:num>
  <w:num w:numId="5" w16cid:durableId="1299217363">
    <w:abstractNumId w:val="1"/>
  </w:num>
  <w:num w:numId="6" w16cid:durableId="1137064481">
    <w:abstractNumId w:val="4"/>
  </w:num>
  <w:num w:numId="7" w16cid:durableId="1004866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ocumentProtection w:edit="readOnly" w:enforcement="1" w:cryptProviderType="rsaAES" w:cryptAlgorithmClass="hash" w:cryptAlgorithmType="typeAny" w:cryptAlgorithmSid="14" w:cryptSpinCount="100000" w:hash="ERP4q0NoodhJZDdq+HYeRUeXhuVJJJbuf1pIzF5ihb6T//4doGNbT+mSu6ZPbvYSKFFRhViR0C5GW8egSOIT8A==" w:salt="7QxRUzBJ8w9gcUO1PJdU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35"/>
    <w:rsid w:val="000030AF"/>
    <w:rsid w:val="000043DA"/>
    <w:rsid w:val="000046D3"/>
    <w:rsid w:val="00012FCA"/>
    <w:rsid w:val="00015E51"/>
    <w:rsid w:val="00021F60"/>
    <w:rsid w:val="0003040E"/>
    <w:rsid w:val="00033EDA"/>
    <w:rsid w:val="000346FD"/>
    <w:rsid w:val="00041D38"/>
    <w:rsid w:val="000541F1"/>
    <w:rsid w:val="0007015B"/>
    <w:rsid w:val="000710A9"/>
    <w:rsid w:val="00071EF2"/>
    <w:rsid w:val="0008554A"/>
    <w:rsid w:val="000855C9"/>
    <w:rsid w:val="00093747"/>
    <w:rsid w:val="00095C76"/>
    <w:rsid w:val="00096A62"/>
    <w:rsid w:val="000975F8"/>
    <w:rsid w:val="000A57E5"/>
    <w:rsid w:val="000B0E57"/>
    <w:rsid w:val="000B4D38"/>
    <w:rsid w:val="000B5303"/>
    <w:rsid w:val="000D15CF"/>
    <w:rsid w:val="000D44B0"/>
    <w:rsid w:val="000F2A64"/>
    <w:rsid w:val="000F3159"/>
    <w:rsid w:val="001173EA"/>
    <w:rsid w:val="00146E66"/>
    <w:rsid w:val="00167FF4"/>
    <w:rsid w:val="00171725"/>
    <w:rsid w:val="00177129"/>
    <w:rsid w:val="001936F4"/>
    <w:rsid w:val="001E0880"/>
    <w:rsid w:val="001E6240"/>
    <w:rsid w:val="00206D4C"/>
    <w:rsid w:val="00214C5A"/>
    <w:rsid w:val="00216ACA"/>
    <w:rsid w:val="00217363"/>
    <w:rsid w:val="00232798"/>
    <w:rsid w:val="002415C2"/>
    <w:rsid w:val="002520D8"/>
    <w:rsid w:val="00271210"/>
    <w:rsid w:val="002806DD"/>
    <w:rsid w:val="00280905"/>
    <w:rsid w:val="00287A52"/>
    <w:rsid w:val="00293682"/>
    <w:rsid w:val="002A24BF"/>
    <w:rsid w:val="002B10CF"/>
    <w:rsid w:val="002B5C92"/>
    <w:rsid w:val="002C6F5D"/>
    <w:rsid w:val="002C7494"/>
    <w:rsid w:val="002D5256"/>
    <w:rsid w:val="002E0015"/>
    <w:rsid w:val="002E1D4A"/>
    <w:rsid w:val="002E1E13"/>
    <w:rsid w:val="002E222B"/>
    <w:rsid w:val="002E4B13"/>
    <w:rsid w:val="002F3B75"/>
    <w:rsid w:val="003064FD"/>
    <w:rsid w:val="00324B1C"/>
    <w:rsid w:val="003478AB"/>
    <w:rsid w:val="00377F81"/>
    <w:rsid w:val="003800C1"/>
    <w:rsid w:val="003D7533"/>
    <w:rsid w:val="003E15C4"/>
    <w:rsid w:val="003F22A8"/>
    <w:rsid w:val="004006DA"/>
    <w:rsid w:val="00400F2C"/>
    <w:rsid w:val="0040384E"/>
    <w:rsid w:val="00433C5B"/>
    <w:rsid w:val="00445131"/>
    <w:rsid w:val="00447EBA"/>
    <w:rsid w:val="004526E1"/>
    <w:rsid w:val="004675E6"/>
    <w:rsid w:val="00467E9C"/>
    <w:rsid w:val="004723B0"/>
    <w:rsid w:val="0047733E"/>
    <w:rsid w:val="00481F5C"/>
    <w:rsid w:val="00484F96"/>
    <w:rsid w:val="00490E67"/>
    <w:rsid w:val="004A0EB3"/>
    <w:rsid w:val="004A1BE7"/>
    <w:rsid w:val="004A2091"/>
    <w:rsid w:val="004A4CD1"/>
    <w:rsid w:val="004A7180"/>
    <w:rsid w:val="004B34FB"/>
    <w:rsid w:val="004B54F2"/>
    <w:rsid w:val="004B5A0E"/>
    <w:rsid w:val="004D2455"/>
    <w:rsid w:val="004E0FE8"/>
    <w:rsid w:val="00500CA3"/>
    <w:rsid w:val="005063DB"/>
    <w:rsid w:val="005067F0"/>
    <w:rsid w:val="00513D69"/>
    <w:rsid w:val="005208CC"/>
    <w:rsid w:val="00531790"/>
    <w:rsid w:val="00536826"/>
    <w:rsid w:val="005407E1"/>
    <w:rsid w:val="00546945"/>
    <w:rsid w:val="005636F6"/>
    <w:rsid w:val="0056437E"/>
    <w:rsid w:val="00574606"/>
    <w:rsid w:val="00574C74"/>
    <w:rsid w:val="00576B70"/>
    <w:rsid w:val="0058024D"/>
    <w:rsid w:val="005C3737"/>
    <w:rsid w:val="005C7FBE"/>
    <w:rsid w:val="005D12EB"/>
    <w:rsid w:val="005D528C"/>
    <w:rsid w:val="005E07AB"/>
    <w:rsid w:val="005F7340"/>
    <w:rsid w:val="00633784"/>
    <w:rsid w:val="00634035"/>
    <w:rsid w:val="00656702"/>
    <w:rsid w:val="00674AF3"/>
    <w:rsid w:val="00674C60"/>
    <w:rsid w:val="0067770B"/>
    <w:rsid w:val="006A021D"/>
    <w:rsid w:val="006A06A2"/>
    <w:rsid w:val="006A5520"/>
    <w:rsid w:val="006C4646"/>
    <w:rsid w:val="006C61CF"/>
    <w:rsid w:val="006D6328"/>
    <w:rsid w:val="007014CC"/>
    <w:rsid w:val="00703C50"/>
    <w:rsid w:val="00720FB3"/>
    <w:rsid w:val="007345D1"/>
    <w:rsid w:val="00741011"/>
    <w:rsid w:val="00747BA8"/>
    <w:rsid w:val="00756E79"/>
    <w:rsid w:val="0076597D"/>
    <w:rsid w:val="0077605A"/>
    <w:rsid w:val="00776BDD"/>
    <w:rsid w:val="00782CCC"/>
    <w:rsid w:val="00795F45"/>
    <w:rsid w:val="007A7B5D"/>
    <w:rsid w:val="007A7C0D"/>
    <w:rsid w:val="007B0659"/>
    <w:rsid w:val="007C2BE2"/>
    <w:rsid w:val="007D1C85"/>
    <w:rsid w:val="007E31BF"/>
    <w:rsid w:val="007E6756"/>
    <w:rsid w:val="007F0F34"/>
    <w:rsid w:val="007F7EB1"/>
    <w:rsid w:val="00802A27"/>
    <w:rsid w:val="00821681"/>
    <w:rsid w:val="00823F29"/>
    <w:rsid w:val="00824413"/>
    <w:rsid w:val="0082626C"/>
    <w:rsid w:val="008322C7"/>
    <w:rsid w:val="008416EA"/>
    <w:rsid w:val="00844604"/>
    <w:rsid w:val="008559FF"/>
    <w:rsid w:val="00866AA1"/>
    <w:rsid w:val="008906E9"/>
    <w:rsid w:val="0089684E"/>
    <w:rsid w:val="008A6BBF"/>
    <w:rsid w:val="008B3B11"/>
    <w:rsid w:val="008B6A35"/>
    <w:rsid w:val="008B7BCB"/>
    <w:rsid w:val="008E7571"/>
    <w:rsid w:val="008F45EB"/>
    <w:rsid w:val="008F515D"/>
    <w:rsid w:val="008F5BB6"/>
    <w:rsid w:val="00902D22"/>
    <w:rsid w:val="0090422D"/>
    <w:rsid w:val="0091023F"/>
    <w:rsid w:val="009173D2"/>
    <w:rsid w:val="009247C9"/>
    <w:rsid w:val="00945DFA"/>
    <w:rsid w:val="00947631"/>
    <w:rsid w:val="00950ADE"/>
    <w:rsid w:val="00950DA0"/>
    <w:rsid w:val="009529E6"/>
    <w:rsid w:val="0095320C"/>
    <w:rsid w:val="00953DA2"/>
    <w:rsid w:val="00962148"/>
    <w:rsid w:val="00972878"/>
    <w:rsid w:val="009738D3"/>
    <w:rsid w:val="009806D0"/>
    <w:rsid w:val="00987645"/>
    <w:rsid w:val="00991EED"/>
    <w:rsid w:val="00992F16"/>
    <w:rsid w:val="009A0BD9"/>
    <w:rsid w:val="009B4125"/>
    <w:rsid w:val="009C307B"/>
    <w:rsid w:val="009D4C4F"/>
    <w:rsid w:val="009D7135"/>
    <w:rsid w:val="009E6631"/>
    <w:rsid w:val="009F1044"/>
    <w:rsid w:val="00A20E3C"/>
    <w:rsid w:val="00A259EB"/>
    <w:rsid w:val="00A375AE"/>
    <w:rsid w:val="00A40F9B"/>
    <w:rsid w:val="00A70D11"/>
    <w:rsid w:val="00A71908"/>
    <w:rsid w:val="00A81D63"/>
    <w:rsid w:val="00A823E7"/>
    <w:rsid w:val="00A84A97"/>
    <w:rsid w:val="00AA39E7"/>
    <w:rsid w:val="00AB108E"/>
    <w:rsid w:val="00AB2ED2"/>
    <w:rsid w:val="00AC7BA2"/>
    <w:rsid w:val="00AD32CB"/>
    <w:rsid w:val="00AE052C"/>
    <w:rsid w:val="00AF3ABA"/>
    <w:rsid w:val="00B211AE"/>
    <w:rsid w:val="00B22427"/>
    <w:rsid w:val="00B27C51"/>
    <w:rsid w:val="00B34DA9"/>
    <w:rsid w:val="00B407E2"/>
    <w:rsid w:val="00B44E2D"/>
    <w:rsid w:val="00B53C74"/>
    <w:rsid w:val="00B54592"/>
    <w:rsid w:val="00B54CA4"/>
    <w:rsid w:val="00B661F4"/>
    <w:rsid w:val="00B739FB"/>
    <w:rsid w:val="00B754F2"/>
    <w:rsid w:val="00B77384"/>
    <w:rsid w:val="00B81C91"/>
    <w:rsid w:val="00B81EB2"/>
    <w:rsid w:val="00B8203E"/>
    <w:rsid w:val="00B82522"/>
    <w:rsid w:val="00B85E61"/>
    <w:rsid w:val="00B9208F"/>
    <w:rsid w:val="00B92FE7"/>
    <w:rsid w:val="00BA30FE"/>
    <w:rsid w:val="00BB10E6"/>
    <w:rsid w:val="00BB4C6E"/>
    <w:rsid w:val="00BB6E21"/>
    <w:rsid w:val="00BC1B27"/>
    <w:rsid w:val="00BC2339"/>
    <w:rsid w:val="00BC46AE"/>
    <w:rsid w:val="00BD0BAD"/>
    <w:rsid w:val="00C05464"/>
    <w:rsid w:val="00C17484"/>
    <w:rsid w:val="00C354FB"/>
    <w:rsid w:val="00C3573F"/>
    <w:rsid w:val="00C67445"/>
    <w:rsid w:val="00C801C1"/>
    <w:rsid w:val="00C87580"/>
    <w:rsid w:val="00C916CC"/>
    <w:rsid w:val="00C96FD4"/>
    <w:rsid w:val="00CA2BE9"/>
    <w:rsid w:val="00CB297D"/>
    <w:rsid w:val="00CB4F52"/>
    <w:rsid w:val="00CC0888"/>
    <w:rsid w:val="00CC2E5A"/>
    <w:rsid w:val="00CC6002"/>
    <w:rsid w:val="00CD7566"/>
    <w:rsid w:val="00CE11E7"/>
    <w:rsid w:val="00CF3524"/>
    <w:rsid w:val="00D07928"/>
    <w:rsid w:val="00D14DC6"/>
    <w:rsid w:val="00D17918"/>
    <w:rsid w:val="00D27F71"/>
    <w:rsid w:val="00D402F7"/>
    <w:rsid w:val="00D414BE"/>
    <w:rsid w:val="00D5028C"/>
    <w:rsid w:val="00D52986"/>
    <w:rsid w:val="00D56255"/>
    <w:rsid w:val="00D76298"/>
    <w:rsid w:val="00D81703"/>
    <w:rsid w:val="00D90346"/>
    <w:rsid w:val="00DA2961"/>
    <w:rsid w:val="00DB29CF"/>
    <w:rsid w:val="00DB3415"/>
    <w:rsid w:val="00DC3203"/>
    <w:rsid w:val="00DC6859"/>
    <w:rsid w:val="00DE3A19"/>
    <w:rsid w:val="00DE62B8"/>
    <w:rsid w:val="00DF6E60"/>
    <w:rsid w:val="00E04BF0"/>
    <w:rsid w:val="00E16FB3"/>
    <w:rsid w:val="00E27C03"/>
    <w:rsid w:val="00E71A9D"/>
    <w:rsid w:val="00E818C9"/>
    <w:rsid w:val="00E867C6"/>
    <w:rsid w:val="00E917CA"/>
    <w:rsid w:val="00E95FC7"/>
    <w:rsid w:val="00EA2585"/>
    <w:rsid w:val="00EB6EBD"/>
    <w:rsid w:val="00EB79AE"/>
    <w:rsid w:val="00EC2876"/>
    <w:rsid w:val="00EC7D1A"/>
    <w:rsid w:val="00ED14D2"/>
    <w:rsid w:val="00ED4258"/>
    <w:rsid w:val="00EE3616"/>
    <w:rsid w:val="00EF0769"/>
    <w:rsid w:val="00F02D8F"/>
    <w:rsid w:val="00F05928"/>
    <w:rsid w:val="00F102D6"/>
    <w:rsid w:val="00F12D58"/>
    <w:rsid w:val="00F17418"/>
    <w:rsid w:val="00F32C1D"/>
    <w:rsid w:val="00F45C4D"/>
    <w:rsid w:val="00F541C4"/>
    <w:rsid w:val="00F96299"/>
    <w:rsid w:val="00FB3110"/>
    <w:rsid w:val="00FC28BF"/>
    <w:rsid w:val="00FD4386"/>
    <w:rsid w:val="00FD69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F0B6"/>
  <w15:chartTrackingRefBased/>
  <w15:docId w15:val="{5E8A70BC-9B3B-4FBD-93BB-6D48825E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0E"/>
  </w:style>
  <w:style w:type="paragraph" w:styleId="Heading1">
    <w:name w:val="heading 1"/>
    <w:basedOn w:val="Normal"/>
    <w:next w:val="Normal"/>
    <w:link w:val="Heading1Char"/>
    <w:uiPriority w:val="9"/>
    <w:qFormat/>
    <w:rsid w:val="009D7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135"/>
    <w:rPr>
      <w:rFonts w:eastAsiaTheme="majorEastAsia" w:cstheme="majorBidi"/>
      <w:color w:val="272727" w:themeColor="text1" w:themeTint="D8"/>
    </w:rPr>
  </w:style>
  <w:style w:type="paragraph" w:styleId="Title">
    <w:name w:val="Title"/>
    <w:basedOn w:val="Normal"/>
    <w:next w:val="Normal"/>
    <w:link w:val="TitleChar"/>
    <w:uiPriority w:val="10"/>
    <w:qFormat/>
    <w:rsid w:val="009D7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135"/>
    <w:pPr>
      <w:spacing w:before="160"/>
      <w:jc w:val="center"/>
    </w:pPr>
    <w:rPr>
      <w:i/>
      <w:iCs/>
      <w:color w:val="404040" w:themeColor="text1" w:themeTint="BF"/>
    </w:rPr>
  </w:style>
  <w:style w:type="character" w:customStyle="1" w:styleId="QuoteChar">
    <w:name w:val="Quote Char"/>
    <w:basedOn w:val="DefaultParagraphFont"/>
    <w:link w:val="Quote"/>
    <w:uiPriority w:val="29"/>
    <w:rsid w:val="009D7135"/>
    <w:rPr>
      <w:i/>
      <w:iCs/>
      <w:color w:val="404040" w:themeColor="text1" w:themeTint="BF"/>
    </w:rPr>
  </w:style>
  <w:style w:type="paragraph" w:styleId="ListParagraph">
    <w:name w:val="List Paragraph"/>
    <w:basedOn w:val="Normal"/>
    <w:uiPriority w:val="34"/>
    <w:qFormat/>
    <w:rsid w:val="009D7135"/>
    <w:pPr>
      <w:ind w:left="720"/>
      <w:contextualSpacing/>
    </w:pPr>
  </w:style>
  <w:style w:type="character" w:styleId="IntenseEmphasis">
    <w:name w:val="Intense Emphasis"/>
    <w:basedOn w:val="DefaultParagraphFont"/>
    <w:uiPriority w:val="21"/>
    <w:qFormat/>
    <w:rsid w:val="009D7135"/>
    <w:rPr>
      <w:i/>
      <w:iCs/>
      <w:color w:val="0F4761" w:themeColor="accent1" w:themeShade="BF"/>
    </w:rPr>
  </w:style>
  <w:style w:type="paragraph" w:styleId="IntenseQuote">
    <w:name w:val="Intense Quote"/>
    <w:basedOn w:val="Normal"/>
    <w:next w:val="Normal"/>
    <w:link w:val="IntenseQuoteChar"/>
    <w:uiPriority w:val="30"/>
    <w:qFormat/>
    <w:rsid w:val="009D7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135"/>
    <w:rPr>
      <w:i/>
      <w:iCs/>
      <w:color w:val="0F4761" w:themeColor="accent1" w:themeShade="BF"/>
    </w:rPr>
  </w:style>
  <w:style w:type="character" w:styleId="IntenseReference">
    <w:name w:val="Intense Reference"/>
    <w:basedOn w:val="DefaultParagraphFont"/>
    <w:uiPriority w:val="32"/>
    <w:qFormat/>
    <w:rsid w:val="009D7135"/>
    <w:rPr>
      <w:b/>
      <w:bCs/>
      <w:smallCaps/>
      <w:color w:val="0F4761" w:themeColor="accent1" w:themeShade="BF"/>
      <w:spacing w:val="5"/>
    </w:rPr>
  </w:style>
  <w:style w:type="table" w:styleId="TableGrid">
    <w:name w:val="Table Grid"/>
    <w:basedOn w:val="TableNormal"/>
    <w:uiPriority w:val="39"/>
    <w:rsid w:val="004A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FD4"/>
    <w:rPr>
      <w:rFonts w:ascii="Times New Roman" w:hAnsi="Times New Roman" w:cs="Times New Roman"/>
    </w:rPr>
  </w:style>
  <w:style w:type="character" w:styleId="CommentReference">
    <w:name w:val="annotation reference"/>
    <w:basedOn w:val="DefaultParagraphFont"/>
    <w:uiPriority w:val="99"/>
    <w:semiHidden/>
    <w:unhideWhenUsed/>
    <w:rsid w:val="00171725"/>
    <w:rPr>
      <w:sz w:val="16"/>
      <w:szCs w:val="16"/>
    </w:rPr>
  </w:style>
  <w:style w:type="paragraph" w:styleId="CommentText">
    <w:name w:val="annotation text"/>
    <w:basedOn w:val="Normal"/>
    <w:link w:val="CommentTextChar"/>
    <w:uiPriority w:val="99"/>
    <w:unhideWhenUsed/>
    <w:rsid w:val="00171725"/>
    <w:pPr>
      <w:spacing w:line="240" w:lineRule="auto"/>
    </w:pPr>
    <w:rPr>
      <w:sz w:val="20"/>
      <w:szCs w:val="20"/>
    </w:rPr>
  </w:style>
  <w:style w:type="character" w:customStyle="1" w:styleId="CommentTextChar">
    <w:name w:val="Comment Text Char"/>
    <w:basedOn w:val="DefaultParagraphFont"/>
    <w:link w:val="CommentText"/>
    <w:uiPriority w:val="99"/>
    <w:rsid w:val="00171725"/>
    <w:rPr>
      <w:sz w:val="20"/>
      <w:szCs w:val="20"/>
    </w:rPr>
  </w:style>
  <w:style w:type="paragraph" w:styleId="CommentSubject">
    <w:name w:val="annotation subject"/>
    <w:basedOn w:val="CommentText"/>
    <w:next w:val="CommentText"/>
    <w:link w:val="CommentSubjectChar"/>
    <w:uiPriority w:val="99"/>
    <w:semiHidden/>
    <w:unhideWhenUsed/>
    <w:rsid w:val="00171725"/>
    <w:rPr>
      <w:b/>
      <w:bCs/>
    </w:rPr>
  </w:style>
  <w:style w:type="character" w:customStyle="1" w:styleId="CommentSubjectChar">
    <w:name w:val="Comment Subject Char"/>
    <w:basedOn w:val="CommentTextChar"/>
    <w:link w:val="CommentSubject"/>
    <w:uiPriority w:val="99"/>
    <w:semiHidden/>
    <w:rsid w:val="00171725"/>
    <w:rPr>
      <w:b/>
      <w:bCs/>
      <w:sz w:val="20"/>
      <w:szCs w:val="20"/>
    </w:rPr>
  </w:style>
  <w:style w:type="character" w:styleId="Hyperlink">
    <w:name w:val="Hyperlink"/>
    <w:basedOn w:val="DefaultParagraphFont"/>
    <w:uiPriority w:val="99"/>
    <w:unhideWhenUsed/>
    <w:rsid w:val="00287A52"/>
    <w:rPr>
      <w:color w:val="467886" w:themeColor="hyperlink"/>
      <w:u w:val="single"/>
    </w:rPr>
  </w:style>
  <w:style w:type="character" w:styleId="UnresolvedMention">
    <w:name w:val="Unresolved Mention"/>
    <w:basedOn w:val="DefaultParagraphFont"/>
    <w:uiPriority w:val="99"/>
    <w:semiHidden/>
    <w:unhideWhenUsed/>
    <w:rsid w:val="00287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7117">
      <w:bodyDiv w:val="1"/>
      <w:marLeft w:val="0"/>
      <w:marRight w:val="0"/>
      <w:marTop w:val="0"/>
      <w:marBottom w:val="0"/>
      <w:divBdr>
        <w:top w:val="none" w:sz="0" w:space="0" w:color="auto"/>
        <w:left w:val="none" w:sz="0" w:space="0" w:color="auto"/>
        <w:bottom w:val="none" w:sz="0" w:space="0" w:color="auto"/>
        <w:right w:val="none" w:sz="0" w:space="0" w:color="auto"/>
      </w:divBdr>
    </w:div>
    <w:div w:id="175926515">
      <w:bodyDiv w:val="1"/>
      <w:marLeft w:val="0"/>
      <w:marRight w:val="0"/>
      <w:marTop w:val="0"/>
      <w:marBottom w:val="0"/>
      <w:divBdr>
        <w:top w:val="none" w:sz="0" w:space="0" w:color="auto"/>
        <w:left w:val="none" w:sz="0" w:space="0" w:color="auto"/>
        <w:bottom w:val="none" w:sz="0" w:space="0" w:color="auto"/>
        <w:right w:val="none" w:sz="0" w:space="0" w:color="auto"/>
      </w:divBdr>
    </w:div>
    <w:div w:id="243494809">
      <w:bodyDiv w:val="1"/>
      <w:marLeft w:val="0"/>
      <w:marRight w:val="0"/>
      <w:marTop w:val="0"/>
      <w:marBottom w:val="0"/>
      <w:divBdr>
        <w:top w:val="none" w:sz="0" w:space="0" w:color="auto"/>
        <w:left w:val="none" w:sz="0" w:space="0" w:color="auto"/>
        <w:bottom w:val="none" w:sz="0" w:space="0" w:color="auto"/>
        <w:right w:val="none" w:sz="0" w:space="0" w:color="auto"/>
      </w:divBdr>
    </w:div>
    <w:div w:id="263538540">
      <w:bodyDiv w:val="1"/>
      <w:marLeft w:val="0"/>
      <w:marRight w:val="0"/>
      <w:marTop w:val="0"/>
      <w:marBottom w:val="0"/>
      <w:divBdr>
        <w:top w:val="none" w:sz="0" w:space="0" w:color="auto"/>
        <w:left w:val="none" w:sz="0" w:space="0" w:color="auto"/>
        <w:bottom w:val="none" w:sz="0" w:space="0" w:color="auto"/>
        <w:right w:val="none" w:sz="0" w:space="0" w:color="auto"/>
      </w:divBdr>
    </w:div>
    <w:div w:id="291985920">
      <w:bodyDiv w:val="1"/>
      <w:marLeft w:val="0"/>
      <w:marRight w:val="0"/>
      <w:marTop w:val="0"/>
      <w:marBottom w:val="0"/>
      <w:divBdr>
        <w:top w:val="none" w:sz="0" w:space="0" w:color="auto"/>
        <w:left w:val="none" w:sz="0" w:space="0" w:color="auto"/>
        <w:bottom w:val="none" w:sz="0" w:space="0" w:color="auto"/>
        <w:right w:val="none" w:sz="0" w:space="0" w:color="auto"/>
      </w:divBdr>
    </w:div>
    <w:div w:id="432092714">
      <w:bodyDiv w:val="1"/>
      <w:marLeft w:val="0"/>
      <w:marRight w:val="0"/>
      <w:marTop w:val="0"/>
      <w:marBottom w:val="0"/>
      <w:divBdr>
        <w:top w:val="none" w:sz="0" w:space="0" w:color="auto"/>
        <w:left w:val="none" w:sz="0" w:space="0" w:color="auto"/>
        <w:bottom w:val="none" w:sz="0" w:space="0" w:color="auto"/>
        <w:right w:val="none" w:sz="0" w:space="0" w:color="auto"/>
      </w:divBdr>
    </w:div>
    <w:div w:id="549849175">
      <w:bodyDiv w:val="1"/>
      <w:marLeft w:val="0"/>
      <w:marRight w:val="0"/>
      <w:marTop w:val="0"/>
      <w:marBottom w:val="0"/>
      <w:divBdr>
        <w:top w:val="none" w:sz="0" w:space="0" w:color="auto"/>
        <w:left w:val="none" w:sz="0" w:space="0" w:color="auto"/>
        <w:bottom w:val="none" w:sz="0" w:space="0" w:color="auto"/>
        <w:right w:val="none" w:sz="0" w:space="0" w:color="auto"/>
      </w:divBdr>
    </w:div>
    <w:div w:id="560092990">
      <w:bodyDiv w:val="1"/>
      <w:marLeft w:val="0"/>
      <w:marRight w:val="0"/>
      <w:marTop w:val="0"/>
      <w:marBottom w:val="0"/>
      <w:divBdr>
        <w:top w:val="none" w:sz="0" w:space="0" w:color="auto"/>
        <w:left w:val="none" w:sz="0" w:space="0" w:color="auto"/>
        <w:bottom w:val="none" w:sz="0" w:space="0" w:color="auto"/>
        <w:right w:val="none" w:sz="0" w:space="0" w:color="auto"/>
      </w:divBdr>
    </w:div>
    <w:div w:id="631592785">
      <w:bodyDiv w:val="1"/>
      <w:marLeft w:val="0"/>
      <w:marRight w:val="0"/>
      <w:marTop w:val="0"/>
      <w:marBottom w:val="0"/>
      <w:divBdr>
        <w:top w:val="none" w:sz="0" w:space="0" w:color="auto"/>
        <w:left w:val="none" w:sz="0" w:space="0" w:color="auto"/>
        <w:bottom w:val="none" w:sz="0" w:space="0" w:color="auto"/>
        <w:right w:val="none" w:sz="0" w:space="0" w:color="auto"/>
      </w:divBdr>
    </w:div>
    <w:div w:id="637347254">
      <w:bodyDiv w:val="1"/>
      <w:marLeft w:val="0"/>
      <w:marRight w:val="0"/>
      <w:marTop w:val="0"/>
      <w:marBottom w:val="0"/>
      <w:divBdr>
        <w:top w:val="none" w:sz="0" w:space="0" w:color="auto"/>
        <w:left w:val="none" w:sz="0" w:space="0" w:color="auto"/>
        <w:bottom w:val="none" w:sz="0" w:space="0" w:color="auto"/>
        <w:right w:val="none" w:sz="0" w:space="0" w:color="auto"/>
      </w:divBdr>
      <w:divsChild>
        <w:div w:id="1863856517">
          <w:marLeft w:val="0"/>
          <w:marRight w:val="0"/>
          <w:marTop w:val="0"/>
          <w:marBottom w:val="0"/>
          <w:divBdr>
            <w:top w:val="none" w:sz="0" w:space="0" w:color="auto"/>
            <w:left w:val="none" w:sz="0" w:space="0" w:color="auto"/>
            <w:bottom w:val="none" w:sz="0" w:space="0" w:color="auto"/>
            <w:right w:val="none" w:sz="0" w:space="0" w:color="auto"/>
          </w:divBdr>
        </w:div>
        <w:div w:id="1448306879">
          <w:marLeft w:val="0"/>
          <w:marRight w:val="0"/>
          <w:marTop w:val="0"/>
          <w:marBottom w:val="0"/>
          <w:divBdr>
            <w:top w:val="none" w:sz="0" w:space="0" w:color="auto"/>
            <w:left w:val="none" w:sz="0" w:space="0" w:color="auto"/>
            <w:bottom w:val="none" w:sz="0" w:space="0" w:color="auto"/>
            <w:right w:val="none" w:sz="0" w:space="0" w:color="auto"/>
          </w:divBdr>
        </w:div>
        <w:div w:id="1641495831">
          <w:marLeft w:val="0"/>
          <w:marRight w:val="0"/>
          <w:marTop w:val="0"/>
          <w:marBottom w:val="0"/>
          <w:divBdr>
            <w:top w:val="none" w:sz="0" w:space="0" w:color="auto"/>
            <w:left w:val="none" w:sz="0" w:space="0" w:color="auto"/>
            <w:bottom w:val="none" w:sz="0" w:space="0" w:color="auto"/>
            <w:right w:val="none" w:sz="0" w:space="0" w:color="auto"/>
          </w:divBdr>
        </w:div>
      </w:divsChild>
    </w:div>
    <w:div w:id="745345383">
      <w:bodyDiv w:val="1"/>
      <w:marLeft w:val="0"/>
      <w:marRight w:val="0"/>
      <w:marTop w:val="0"/>
      <w:marBottom w:val="0"/>
      <w:divBdr>
        <w:top w:val="none" w:sz="0" w:space="0" w:color="auto"/>
        <w:left w:val="none" w:sz="0" w:space="0" w:color="auto"/>
        <w:bottom w:val="none" w:sz="0" w:space="0" w:color="auto"/>
        <w:right w:val="none" w:sz="0" w:space="0" w:color="auto"/>
      </w:divBdr>
    </w:div>
    <w:div w:id="805776150">
      <w:bodyDiv w:val="1"/>
      <w:marLeft w:val="0"/>
      <w:marRight w:val="0"/>
      <w:marTop w:val="0"/>
      <w:marBottom w:val="0"/>
      <w:divBdr>
        <w:top w:val="none" w:sz="0" w:space="0" w:color="auto"/>
        <w:left w:val="none" w:sz="0" w:space="0" w:color="auto"/>
        <w:bottom w:val="none" w:sz="0" w:space="0" w:color="auto"/>
        <w:right w:val="none" w:sz="0" w:space="0" w:color="auto"/>
      </w:divBdr>
    </w:div>
    <w:div w:id="833881809">
      <w:bodyDiv w:val="1"/>
      <w:marLeft w:val="0"/>
      <w:marRight w:val="0"/>
      <w:marTop w:val="0"/>
      <w:marBottom w:val="0"/>
      <w:divBdr>
        <w:top w:val="none" w:sz="0" w:space="0" w:color="auto"/>
        <w:left w:val="none" w:sz="0" w:space="0" w:color="auto"/>
        <w:bottom w:val="none" w:sz="0" w:space="0" w:color="auto"/>
        <w:right w:val="none" w:sz="0" w:space="0" w:color="auto"/>
      </w:divBdr>
    </w:div>
    <w:div w:id="1029338332">
      <w:bodyDiv w:val="1"/>
      <w:marLeft w:val="0"/>
      <w:marRight w:val="0"/>
      <w:marTop w:val="0"/>
      <w:marBottom w:val="0"/>
      <w:divBdr>
        <w:top w:val="none" w:sz="0" w:space="0" w:color="auto"/>
        <w:left w:val="none" w:sz="0" w:space="0" w:color="auto"/>
        <w:bottom w:val="none" w:sz="0" w:space="0" w:color="auto"/>
        <w:right w:val="none" w:sz="0" w:space="0" w:color="auto"/>
      </w:divBdr>
      <w:divsChild>
        <w:div w:id="362563636">
          <w:marLeft w:val="0"/>
          <w:marRight w:val="0"/>
          <w:marTop w:val="0"/>
          <w:marBottom w:val="0"/>
          <w:divBdr>
            <w:top w:val="none" w:sz="0" w:space="0" w:color="auto"/>
            <w:left w:val="none" w:sz="0" w:space="0" w:color="auto"/>
            <w:bottom w:val="none" w:sz="0" w:space="0" w:color="auto"/>
            <w:right w:val="none" w:sz="0" w:space="0" w:color="auto"/>
          </w:divBdr>
        </w:div>
        <w:div w:id="5792256">
          <w:marLeft w:val="0"/>
          <w:marRight w:val="0"/>
          <w:marTop w:val="0"/>
          <w:marBottom w:val="0"/>
          <w:divBdr>
            <w:top w:val="none" w:sz="0" w:space="0" w:color="auto"/>
            <w:left w:val="none" w:sz="0" w:space="0" w:color="auto"/>
            <w:bottom w:val="none" w:sz="0" w:space="0" w:color="auto"/>
            <w:right w:val="none" w:sz="0" w:space="0" w:color="auto"/>
          </w:divBdr>
        </w:div>
        <w:div w:id="909462999">
          <w:marLeft w:val="0"/>
          <w:marRight w:val="0"/>
          <w:marTop w:val="0"/>
          <w:marBottom w:val="0"/>
          <w:divBdr>
            <w:top w:val="none" w:sz="0" w:space="0" w:color="auto"/>
            <w:left w:val="none" w:sz="0" w:space="0" w:color="auto"/>
            <w:bottom w:val="none" w:sz="0" w:space="0" w:color="auto"/>
            <w:right w:val="none" w:sz="0" w:space="0" w:color="auto"/>
          </w:divBdr>
        </w:div>
      </w:divsChild>
    </w:div>
    <w:div w:id="1043166173">
      <w:bodyDiv w:val="1"/>
      <w:marLeft w:val="0"/>
      <w:marRight w:val="0"/>
      <w:marTop w:val="0"/>
      <w:marBottom w:val="0"/>
      <w:divBdr>
        <w:top w:val="none" w:sz="0" w:space="0" w:color="auto"/>
        <w:left w:val="none" w:sz="0" w:space="0" w:color="auto"/>
        <w:bottom w:val="none" w:sz="0" w:space="0" w:color="auto"/>
        <w:right w:val="none" w:sz="0" w:space="0" w:color="auto"/>
      </w:divBdr>
    </w:div>
    <w:div w:id="1134177868">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311249618">
      <w:bodyDiv w:val="1"/>
      <w:marLeft w:val="0"/>
      <w:marRight w:val="0"/>
      <w:marTop w:val="0"/>
      <w:marBottom w:val="0"/>
      <w:divBdr>
        <w:top w:val="none" w:sz="0" w:space="0" w:color="auto"/>
        <w:left w:val="none" w:sz="0" w:space="0" w:color="auto"/>
        <w:bottom w:val="none" w:sz="0" w:space="0" w:color="auto"/>
        <w:right w:val="none" w:sz="0" w:space="0" w:color="auto"/>
      </w:divBdr>
      <w:divsChild>
        <w:div w:id="930087635">
          <w:marLeft w:val="0"/>
          <w:marRight w:val="0"/>
          <w:marTop w:val="0"/>
          <w:marBottom w:val="0"/>
          <w:divBdr>
            <w:top w:val="none" w:sz="0" w:space="0" w:color="auto"/>
            <w:left w:val="none" w:sz="0" w:space="0" w:color="auto"/>
            <w:bottom w:val="none" w:sz="0" w:space="0" w:color="auto"/>
            <w:right w:val="none" w:sz="0" w:space="0" w:color="auto"/>
          </w:divBdr>
        </w:div>
        <w:div w:id="1460107420">
          <w:marLeft w:val="0"/>
          <w:marRight w:val="0"/>
          <w:marTop w:val="0"/>
          <w:marBottom w:val="0"/>
          <w:divBdr>
            <w:top w:val="none" w:sz="0" w:space="0" w:color="auto"/>
            <w:left w:val="none" w:sz="0" w:space="0" w:color="auto"/>
            <w:bottom w:val="none" w:sz="0" w:space="0" w:color="auto"/>
            <w:right w:val="none" w:sz="0" w:space="0" w:color="auto"/>
          </w:divBdr>
        </w:div>
        <w:div w:id="650328297">
          <w:marLeft w:val="0"/>
          <w:marRight w:val="0"/>
          <w:marTop w:val="0"/>
          <w:marBottom w:val="0"/>
          <w:divBdr>
            <w:top w:val="none" w:sz="0" w:space="0" w:color="auto"/>
            <w:left w:val="none" w:sz="0" w:space="0" w:color="auto"/>
            <w:bottom w:val="none" w:sz="0" w:space="0" w:color="auto"/>
            <w:right w:val="none" w:sz="0" w:space="0" w:color="auto"/>
          </w:divBdr>
        </w:div>
      </w:divsChild>
    </w:div>
    <w:div w:id="1459909549">
      <w:bodyDiv w:val="1"/>
      <w:marLeft w:val="0"/>
      <w:marRight w:val="0"/>
      <w:marTop w:val="0"/>
      <w:marBottom w:val="0"/>
      <w:divBdr>
        <w:top w:val="none" w:sz="0" w:space="0" w:color="auto"/>
        <w:left w:val="none" w:sz="0" w:space="0" w:color="auto"/>
        <w:bottom w:val="none" w:sz="0" w:space="0" w:color="auto"/>
        <w:right w:val="none" w:sz="0" w:space="0" w:color="auto"/>
      </w:divBdr>
    </w:div>
    <w:div w:id="1495487437">
      <w:bodyDiv w:val="1"/>
      <w:marLeft w:val="0"/>
      <w:marRight w:val="0"/>
      <w:marTop w:val="0"/>
      <w:marBottom w:val="0"/>
      <w:divBdr>
        <w:top w:val="none" w:sz="0" w:space="0" w:color="auto"/>
        <w:left w:val="none" w:sz="0" w:space="0" w:color="auto"/>
        <w:bottom w:val="none" w:sz="0" w:space="0" w:color="auto"/>
        <w:right w:val="none" w:sz="0" w:space="0" w:color="auto"/>
      </w:divBdr>
      <w:divsChild>
        <w:div w:id="863396820">
          <w:marLeft w:val="0"/>
          <w:marRight w:val="0"/>
          <w:marTop w:val="0"/>
          <w:marBottom w:val="0"/>
          <w:divBdr>
            <w:top w:val="none" w:sz="0" w:space="0" w:color="auto"/>
            <w:left w:val="none" w:sz="0" w:space="0" w:color="auto"/>
            <w:bottom w:val="none" w:sz="0" w:space="0" w:color="auto"/>
            <w:right w:val="none" w:sz="0" w:space="0" w:color="auto"/>
          </w:divBdr>
        </w:div>
        <w:div w:id="1949388989">
          <w:marLeft w:val="0"/>
          <w:marRight w:val="0"/>
          <w:marTop w:val="0"/>
          <w:marBottom w:val="0"/>
          <w:divBdr>
            <w:top w:val="none" w:sz="0" w:space="0" w:color="auto"/>
            <w:left w:val="none" w:sz="0" w:space="0" w:color="auto"/>
            <w:bottom w:val="none" w:sz="0" w:space="0" w:color="auto"/>
            <w:right w:val="none" w:sz="0" w:space="0" w:color="auto"/>
          </w:divBdr>
        </w:div>
        <w:div w:id="790589841">
          <w:marLeft w:val="0"/>
          <w:marRight w:val="0"/>
          <w:marTop w:val="0"/>
          <w:marBottom w:val="0"/>
          <w:divBdr>
            <w:top w:val="none" w:sz="0" w:space="0" w:color="auto"/>
            <w:left w:val="none" w:sz="0" w:space="0" w:color="auto"/>
            <w:bottom w:val="none" w:sz="0" w:space="0" w:color="auto"/>
            <w:right w:val="none" w:sz="0" w:space="0" w:color="auto"/>
          </w:divBdr>
        </w:div>
      </w:divsChild>
    </w:div>
    <w:div w:id="1523860329">
      <w:bodyDiv w:val="1"/>
      <w:marLeft w:val="0"/>
      <w:marRight w:val="0"/>
      <w:marTop w:val="0"/>
      <w:marBottom w:val="0"/>
      <w:divBdr>
        <w:top w:val="none" w:sz="0" w:space="0" w:color="auto"/>
        <w:left w:val="none" w:sz="0" w:space="0" w:color="auto"/>
        <w:bottom w:val="none" w:sz="0" w:space="0" w:color="auto"/>
        <w:right w:val="none" w:sz="0" w:space="0" w:color="auto"/>
      </w:divBdr>
    </w:div>
    <w:div w:id="1670477523">
      <w:bodyDiv w:val="1"/>
      <w:marLeft w:val="0"/>
      <w:marRight w:val="0"/>
      <w:marTop w:val="0"/>
      <w:marBottom w:val="0"/>
      <w:divBdr>
        <w:top w:val="none" w:sz="0" w:space="0" w:color="auto"/>
        <w:left w:val="none" w:sz="0" w:space="0" w:color="auto"/>
        <w:bottom w:val="none" w:sz="0" w:space="0" w:color="auto"/>
        <w:right w:val="none" w:sz="0" w:space="0" w:color="auto"/>
      </w:divBdr>
    </w:div>
    <w:div w:id="1783457034">
      <w:bodyDiv w:val="1"/>
      <w:marLeft w:val="0"/>
      <w:marRight w:val="0"/>
      <w:marTop w:val="0"/>
      <w:marBottom w:val="0"/>
      <w:divBdr>
        <w:top w:val="none" w:sz="0" w:space="0" w:color="auto"/>
        <w:left w:val="none" w:sz="0" w:space="0" w:color="auto"/>
        <w:bottom w:val="none" w:sz="0" w:space="0" w:color="auto"/>
        <w:right w:val="none" w:sz="0" w:space="0" w:color="auto"/>
      </w:divBdr>
    </w:div>
    <w:div w:id="183114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independent-review-of-physician-and-anaesthesia-associates-areas-to-be-covered/leng-review-further-detail-on-the-areas-to-be-covered-by-the-review-of-physician-associate-and-anaesthesia-associate-professions" TargetMode="External"/><Relationship Id="rId5" Type="http://schemas.openxmlformats.org/officeDocument/2006/relationships/hyperlink" Target="https://www.nice.org.uk/guidance/ng2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4395</Words>
  <Characters>25057</Characters>
  <Application>Microsoft Office Word</Application>
  <DocSecurity>8</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FICAROTTA, Natasha (NHS ENGLAND)</dc:creator>
  <cp:keywords/>
  <dc:description/>
  <cp:lastModifiedBy>FICAROTTA, Natasha (NHS ENGLAND)</cp:lastModifiedBy>
  <cp:revision>3</cp:revision>
  <dcterms:created xsi:type="dcterms:W3CDTF">2025-11-11T11:32:00Z</dcterms:created>
  <dcterms:modified xsi:type="dcterms:W3CDTF">2025-11-11T11:33:00Z</dcterms:modified>
</cp:coreProperties>
</file>